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52"/>
          <w:szCs w:val="52"/>
        </w:rPr>
      </w:pPr>
      <w:r>
        <w:rPr>
          <w:rFonts w:ascii="仿宋" w:hAnsi="仿宋" w:eastAsia="仿宋"/>
          <w:b/>
          <w:sz w:val="52"/>
          <w:szCs w:val="52"/>
        </w:rPr>
        <w:pict>
          <v:shape id="_x0000_i1025" o:spt="136" type="#_x0000_t136" style="height:69.3pt;width:487.7pt;" fillcolor="#000000" filled="t" o:preferrelative="t" coordsize="21600,21600">
            <v:path/>
            <v:fill on="t" focussize="0,0"/>
            <v:stroke miterlimit="2"/>
            <v:imagedata o:title=""/>
            <o:lock v:ext="edit" text="f"/>
            <v:textpath on="t" fitshape="t" fitpath="t" trim="t" xscale="f" string="鄂尔多斯机场物业服务有限公司&#10;" style="font-family:宋体;font-size:36pt;v-text-align:center;"/>
            <v:shadow on="t" color="#868686" offset="1pt,0pt" offset2="-2pt,-4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r>
        <w:rPr>
          <w:rFonts w:ascii="仿宋" w:hAnsi="仿宋" w:eastAsia="仿宋"/>
          <w:b/>
          <w:sz w:val="52"/>
          <w:szCs w:val="52"/>
        </w:rPr>
        <w:pict>
          <v:shape id="_x0000_i1026" o:spt="136" type="#_x0000_t136" style="height:44.15pt;width:177.3pt;" fillcolor="#000000" filled="t" o:preferrelative="t" coordsize="21600,21600">
            <v:path/>
            <v:fill on="t" focussize="0,0"/>
            <v:stroke miterlimit="2"/>
            <v:imagedata o:title=""/>
            <o:lock v:ext="edit" text="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rPr>
          <w:rFonts w:ascii="仿宋" w:hAnsi="仿宋" w:eastAsia="仿宋"/>
          <w:b/>
          <w:sz w:val="52"/>
          <w:szCs w:val="52"/>
        </w:rPr>
      </w:pPr>
    </w:p>
    <w:p>
      <w:pPr>
        <w:rPr>
          <w:rFonts w:ascii="仿宋" w:hAnsi="仿宋" w:eastAsia="仿宋"/>
          <w:b/>
          <w:sz w:val="52"/>
          <w:szCs w:val="52"/>
        </w:rPr>
      </w:pPr>
    </w:p>
    <w:p>
      <w:pPr>
        <w:jc w:val="center"/>
        <w:rPr>
          <w:rFonts w:ascii="仿宋" w:hAnsi="仿宋" w:eastAsia="仿宋"/>
          <w:b/>
          <w:sz w:val="44"/>
          <w:szCs w:val="44"/>
        </w:rPr>
      </w:pPr>
      <w:r>
        <w:rPr>
          <w:rFonts w:hint="eastAsia" w:ascii="仿宋" w:hAnsi="仿宋" w:eastAsia="仿宋"/>
          <w:b/>
          <w:sz w:val="44"/>
          <w:szCs w:val="44"/>
        </w:rPr>
        <w:t>项目名称：康巴什物业服务项目保洁、保安劳务</w:t>
      </w:r>
    </w:p>
    <w:p>
      <w:pPr>
        <w:jc w:val="center"/>
        <w:rPr>
          <w:rFonts w:ascii="仿宋" w:hAnsi="仿宋" w:eastAsia="仿宋"/>
          <w:b/>
          <w:sz w:val="44"/>
          <w:szCs w:val="44"/>
        </w:rPr>
      </w:pPr>
      <w:r>
        <w:rPr>
          <w:rFonts w:hint="eastAsia" w:ascii="仿宋" w:hAnsi="仿宋" w:eastAsia="仿宋"/>
          <w:b/>
          <w:sz w:val="44"/>
          <w:szCs w:val="44"/>
        </w:rPr>
        <w:t>采购项目</w:t>
      </w:r>
    </w:p>
    <w:p>
      <w:pPr>
        <w:jc w:val="center"/>
        <w:rPr>
          <w:rFonts w:ascii="仿宋" w:hAnsi="仿宋" w:eastAsia="仿宋"/>
          <w:b/>
          <w:sz w:val="44"/>
          <w:szCs w:val="44"/>
        </w:rPr>
      </w:pPr>
      <w:r>
        <w:rPr>
          <w:rFonts w:hint="eastAsia" w:ascii="仿宋" w:hAnsi="仿宋" w:eastAsia="仿宋"/>
          <w:b/>
          <w:sz w:val="44"/>
          <w:szCs w:val="44"/>
        </w:rPr>
        <w:t>项目编号：CG/WYGS-2018-001-W</w:t>
      </w:r>
    </w:p>
    <w:p>
      <w:pPr>
        <w:jc w:val="center"/>
        <w:rPr>
          <w:rFonts w:ascii="仿宋" w:hAnsi="仿宋" w:eastAsia="仿宋"/>
          <w:b/>
          <w:sz w:val="44"/>
          <w:szCs w:val="44"/>
        </w:rPr>
      </w:pPr>
    </w:p>
    <w:p>
      <w:pPr>
        <w:jc w:val="center"/>
        <w:rPr>
          <w:rFonts w:ascii="仿宋" w:hAnsi="仿宋" w:eastAsia="仿宋"/>
          <w:b/>
          <w:sz w:val="44"/>
          <w:szCs w:val="44"/>
        </w:rPr>
      </w:pPr>
    </w:p>
    <w:p>
      <w:pPr>
        <w:widowControl/>
        <w:jc w:val="center"/>
        <w:rPr>
          <w:rFonts w:ascii="方正小标宋简体" w:hAnsi="仿宋" w:eastAsia="方正小标宋简体"/>
          <w:sz w:val="44"/>
          <w:szCs w:val="44"/>
        </w:rPr>
      </w:pPr>
      <w:r>
        <w:rPr>
          <w:rFonts w:hint="eastAsia" w:ascii="方正小标宋简体" w:hAnsi="仿宋" w:eastAsia="方正小标宋简体"/>
          <w:sz w:val="44"/>
          <w:szCs w:val="44"/>
        </w:rPr>
        <w:t>目录</w:t>
      </w:r>
    </w:p>
    <w:p>
      <w:pPr>
        <w:widowControl/>
        <w:jc w:val="center"/>
        <w:rPr>
          <w:rFonts w:ascii="方正小标宋简体" w:hAnsi="仿宋" w:eastAsia="方正小标宋简体"/>
          <w:sz w:val="44"/>
          <w:szCs w:val="44"/>
        </w:rPr>
      </w:pPr>
    </w:p>
    <w:p>
      <w:pPr>
        <w:pStyle w:val="9"/>
        <w:tabs>
          <w:tab w:val="right" w:leader="dot" w:pos="9742"/>
        </w:tabs>
        <w:spacing w:line="360" w:lineRule="auto"/>
        <w:rPr>
          <w:rStyle w:val="15"/>
          <w:rFonts w:ascii="仿宋_GB2312" w:hAnsi="仿宋" w:eastAsia="仿宋_GB2312"/>
          <w:sz w:val="36"/>
        </w:rPr>
      </w:pPr>
      <w:r>
        <w:rPr>
          <w:rFonts w:hint="eastAsia" w:ascii="仿宋_GB2312" w:hAnsi="仿宋" w:eastAsia="仿宋_GB2312"/>
          <w:sz w:val="72"/>
          <w:szCs w:val="32"/>
        </w:rPr>
        <w:fldChar w:fldCharType="begin"/>
      </w:r>
      <w:r>
        <w:rPr>
          <w:rFonts w:hint="eastAsia" w:ascii="仿宋_GB2312" w:hAnsi="仿宋" w:eastAsia="仿宋_GB2312"/>
          <w:sz w:val="72"/>
          <w:szCs w:val="32"/>
        </w:rPr>
        <w:instrText xml:space="preserve"> TOC \o "1-3" \h \z \u </w:instrText>
      </w:r>
      <w:r>
        <w:rPr>
          <w:rFonts w:hint="eastAsia" w:ascii="仿宋_GB2312" w:hAnsi="仿宋" w:eastAsia="仿宋_GB2312"/>
          <w:sz w:val="72"/>
          <w:szCs w:val="32"/>
        </w:rPr>
        <w:fldChar w:fldCharType="separate"/>
      </w:r>
      <w:r>
        <w:fldChar w:fldCharType="begin"/>
      </w:r>
      <w:r>
        <w:instrText xml:space="preserve"> HYPERLINK \l "_Toc515961861" </w:instrText>
      </w:r>
      <w:r>
        <w:fldChar w:fldCharType="separate"/>
      </w:r>
      <w:r>
        <w:rPr>
          <w:rStyle w:val="15"/>
          <w:rFonts w:hint="eastAsia" w:ascii="仿宋_GB2312" w:hAnsi="仿宋" w:eastAsia="仿宋_GB2312"/>
          <w:sz w:val="36"/>
        </w:rPr>
        <w:t>第一章 竞争性磋商公告</w:t>
      </w:r>
      <w:r>
        <w:rPr>
          <w:rStyle w:val="15"/>
          <w:rFonts w:hint="eastAsia" w:ascii="仿宋_GB2312" w:hAnsi="仿宋" w:eastAsia="仿宋_GB2312"/>
          <w:sz w:val="36"/>
        </w:rPr>
        <w:tab/>
      </w:r>
      <w:r>
        <w:rPr>
          <w:rStyle w:val="15"/>
          <w:rFonts w:hint="eastAsia" w:ascii="仿宋_GB2312" w:hAnsi="仿宋" w:eastAsia="仿宋_GB2312"/>
          <w:sz w:val="36"/>
        </w:rPr>
        <w:fldChar w:fldCharType="begin"/>
      </w:r>
      <w:r>
        <w:rPr>
          <w:rStyle w:val="15"/>
          <w:rFonts w:hint="eastAsia" w:ascii="仿宋_GB2312" w:hAnsi="仿宋" w:eastAsia="仿宋_GB2312"/>
          <w:sz w:val="36"/>
        </w:rPr>
        <w:instrText xml:space="preserve"> PAGEREF _Toc515961861 \h </w:instrText>
      </w:r>
      <w:r>
        <w:rPr>
          <w:rStyle w:val="15"/>
          <w:rFonts w:hint="eastAsia" w:ascii="仿宋_GB2312" w:hAnsi="仿宋" w:eastAsia="仿宋_GB2312"/>
          <w:sz w:val="36"/>
        </w:rPr>
        <w:fldChar w:fldCharType="separate"/>
      </w:r>
      <w:r>
        <w:rPr>
          <w:rStyle w:val="15"/>
          <w:rFonts w:ascii="仿宋_GB2312" w:hAnsi="仿宋" w:eastAsia="仿宋_GB2312"/>
          <w:sz w:val="36"/>
        </w:rPr>
        <w:t>3</w:t>
      </w:r>
      <w:r>
        <w:rPr>
          <w:rStyle w:val="15"/>
          <w:rFonts w:hint="eastAsia" w:ascii="仿宋_GB2312" w:hAnsi="仿宋" w:eastAsia="仿宋_GB2312"/>
          <w:sz w:val="36"/>
        </w:rPr>
        <w:fldChar w:fldCharType="end"/>
      </w:r>
      <w:r>
        <w:rPr>
          <w:rStyle w:val="15"/>
          <w:rFonts w:hint="eastAsia" w:ascii="仿宋_GB2312" w:hAnsi="仿宋" w:eastAsia="仿宋_GB2312"/>
          <w:sz w:val="36"/>
        </w:rPr>
        <w:fldChar w:fldCharType="end"/>
      </w:r>
    </w:p>
    <w:p>
      <w:pPr>
        <w:pStyle w:val="10"/>
        <w:tabs>
          <w:tab w:val="right" w:leader="dot" w:pos="9742"/>
        </w:tabs>
        <w:spacing w:line="360" w:lineRule="auto"/>
        <w:rPr>
          <w:rStyle w:val="15"/>
          <w:rFonts w:ascii="仿宋_GB2312" w:hAnsi="仿宋" w:eastAsia="仿宋_GB2312"/>
          <w:sz w:val="36"/>
        </w:rPr>
      </w:pPr>
      <w:r>
        <w:fldChar w:fldCharType="begin"/>
      </w:r>
      <w:r>
        <w:instrText xml:space="preserve"> HYPERLINK \l "_Toc515961862" </w:instrText>
      </w:r>
      <w:r>
        <w:fldChar w:fldCharType="separate"/>
      </w:r>
      <w:r>
        <w:rPr>
          <w:rStyle w:val="15"/>
          <w:rFonts w:hint="eastAsia" w:ascii="仿宋_GB2312" w:hAnsi="仿宋" w:eastAsia="仿宋_GB2312"/>
          <w:sz w:val="36"/>
        </w:rPr>
        <w:t>一、项目概况</w:t>
      </w:r>
      <w:r>
        <w:rPr>
          <w:rStyle w:val="15"/>
          <w:rFonts w:hint="eastAsia" w:ascii="仿宋_GB2312" w:hAnsi="仿宋" w:eastAsia="仿宋_GB2312"/>
          <w:sz w:val="36"/>
        </w:rPr>
        <w:tab/>
      </w:r>
      <w:r>
        <w:rPr>
          <w:rStyle w:val="15"/>
          <w:rFonts w:hint="eastAsia" w:ascii="仿宋_GB2312" w:hAnsi="仿宋" w:eastAsia="仿宋_GB2312"/>
          <w:sz w:val="36"/>
        </w:rPr>
        <w:fldChar w:fldCharType="begin"/>
      </w:r>
      <w:r>
        <w:rPr>
          <w:rStyle w:val="15"/>
          <w:rFonts w:hint="eastAsia" w:ascii="仿宋_GB2312" w:hAnsi="仿宋" w:eastAsia="仿宋_GB2312"/>
          <w:sz w:val="36"/>
        </w:rPr>
        <w:instrText xml:space="preserve"> PAGEREF _Toc515961862 \h </w:instrText>
      </w:r>
      <w:r>
        <w:rPr>
          <w:rStyle w:val="15"/>
          <w:rFonts w:hint="eastAsia" w:ascii="仿宋_GB2312" w:hAnsi="仿宋" w:eastAsia="仿宋_GB2312"/>
          <w:sz w:val="36"/>
        </w:rPr>
        <w:fldChar w:fldCharType="separate"/>
      </w:r>
      <w:r>
        <w:rPr>
          <w:rStyle w:val="15"/>
          <w:rFonts w:ascii="仿宋_GB2312" w:hAnsi="仿宋" w:eastAsia="仿宋_GB2312"/>
          <w:sz w:val="36"/>
        </w:rPr>
        <w:t>3</w:t>
      </w:r>
      <w:r>
        <w:rPr>
          <w:rStyle w:val="15"/>
          <w:rFonts w:hint="eastAsia" w:ascii="仿宋_GB2312" w:hAnsi="仿宋" w:eastAsia="仿宋_GB2312"/>
          <w:sz w:val="36"/>
        </w:rPr>
        <w:fldChar w:fldCharType="end"/>
      </w:r>
      <w:r>
        <w:rPr>
          <w:rStyle w:val="15"/>
          <w:rFonts w:hint="eastAsia" w:ascii="仿宋_GB2312" w:hAnsi="仿宋" w:eastAsia="仿宋_GB2312"/>
          <w:sz w:val="36"/>
        </w:rPr>
        <w:fldChar w:fldCharType="end"/>
      </w:r>
    </w:p>
    <w:p>
      <w:pPr>
        <w:pStyle w:val="10"/>
        <w:tabs>
          <w:tab w:val="right" w:leader="dot" w:pos="9742"/>
        </w:tabs>
        <w:spacing w:line="360" w:lineRule="auto"/>
        <w:rPr>
          <w:rStyle w:val="15"/>
          <w:rFonts w:ascii="仿宋_GB2312" w:hAnsi="仿宋" w:eastAsia="仿宋_GB2312"/>
          <w:sz w:val="36"/>
        </w:rPr>
      </w:pPr>
      <w:r>
        <w:fldChar w:fldCharType="begin"/>
      </w:r>
      <w:r>
        <w:instrText xml:space="preserve"> HYPERLINK \l "_Toc515961863" </w:instrText>
      </w:r>
      <w:r>
        <w:fldChar w:fldCharType="separate"/>
      </w:r>
      <w:r>
        <w:rPr>
          <w:rStyle w:val="15"/>
          <w:rFonts w:hint="eastAsia" w:ascii="仿宋_GB2312" w:hAnsi="仿宋" w:eastAsia="仿宋_GB2312"/>
          <w:sz w:val="36"/>
        </w:rPr>
        <w:t>二、供应商的资格要求</w:t>
      </w:r>
      <w:r>
        <w:rPr>
          <w:rStyle w:val="15"/>
          <w:rFonts w:hint="eastAsia" w:ascii="仿宋_GB2312" w:hAnsi="仿宋" w:eastAsia="仿宋_GB2312"/>
          <w:sz w:val="36"/>
        </w:rPr>
        <w:tab/>
      </w:r>
      <w:r>
        <w:rPr>
          <w:rStyle w:val="15"/>
          <w:rFonts w:hint="eastAsia" w:ascii="仿宋_GB2312" w:hAnsi="仿宋" w:eastAsia="仿宋_GB2312"/>
          <w:sz w:val="36"/>
        </w:rPr>
        <w:fldChar w:fldCharType="begin"/>
      </w:r>
      <w:r>
        <w:rPr>
          <w:rStyle w:val="15"/>
          <w:rFonts w:hint="eastAsia" w:ascii="仿宋_GB2312" w:hAnsi="仿宋" w:eastAsia="仿宋_GB2312"/>
          <w:sz w:val="36"/>
        </w:rPr>
        <w:instrText xml:space="preserve"> PAGEREF _Toc515961863 \h </w:instrText>
      </w:r>
      <w:r>
        <w:rPr>
          <w:rStyle w:val="15"/>
          <w:rFonts w:hint="eastAsia" w:ascii="仿宋_GB2312" w:hAnsi="仿宋" w:eastAsia="仿宋_GB2312"/>
          <w:sz w:val="36"/>
        </w:rPr>
        <w:fldChar w:fldCharType="separate"/>
      </w:r>
      <w:r>
        <w:rPr>
          <w:rStyle w:val="15"/>
          <w:rFonts w:ascii="仿宋_GB2312" w:hAnsi="仿宋" w:eastAsia="仿宋_GB2312"/>
          <w:sz w:val="36"/>
        </w:rPr>
        <w:t>3</w:t>
      </w:r>
      <w:r>
        <w:rPr>
          <w:rStyle w:val="15"/>
          <w:rFonts w:hint="eastAsia" w:ascii="仿宋_GB2312" w:hAnsi="仿宋" w:eastAsia="仿宋_GB2312"/>
          <w:sz w:val="36"/>
        </w:rPr>
        <w:fldChar w:fldCharType="end"/>
      </w:r>
      <w:r>
        <w:rPr>
          <w:rStyle w:val="15"/>
          <w:rFonts w:hint="eastAsia" w:ascii="仿宋_GB2312" w:hAnsi="仿宋" w:eastAsia="仿宋_GB2312"/>
          <w:sz w:val="36"/>
        </w:rPr>
        <w:fldChar w:fldCharType="end"/>
      </w:r>
    </w:p>
    <w:p>
      <w:pPr>
        <w:pStyle w:val="10"/>
        <w:tabs>
          <w:tab w:val="right" w:leader="dot" w:pos="9742"/>
        </w:tabs>
        <w:spacing w:line="360" w:lineRule="auto"/>
        <w:rPr>
          <w:rStyle w:val="15"/>
          <w:rFonts w:ascii="仿宋_GB2312" w:hAnsi="仿宋" w:eastAsia="仿宋_GB2312"/>
          <w:sz w:val="36"/>
        </w:rPr>
      </w:pPr>
      <w:r>
        <w:fldChar w:fldCharType="begin"/>
      </w:r>
      <w:r>
        <w:instrText xml:space="preserve"> HYPERLINK \l "_Toc515961864" </w:instrText>
      </w:r>
      <w:r>
        <w:fldChar w:fldCharType="separate"/>
      </w:r>
      <w:r>
        <w:rPr>
          <w:rStyle w:val="15"/>
          <w:rFonts w:hint="eastAsia" w:ascii="仿宋_GB2312" w:hAnsi="仿宋" w:eastAsia="仿宋_GB2312"/>
          <w:sz w:val="36"/>
        </w:rPr>
        <w:t>三、获取采购文件的时间、地点、方式</w:t>
      </w:r>
      <w:r>
        <w:rPr>
          <w:rStyle w:val="15"/>
          <w:rFonts w:hint="eastAsia" w:ascii="仿宋_GB2312" w:hAnsi="仿宋" w:eastAsia="仿宋_GB2312"/>
          <w:sz w:val="36"/>
        </w:rPr>
        <w:tab/>
      </w:r>
      <w:r>
        <w:rPr>
          <w:rStyle w:val="15"/>
          <w:rFonts w:hint="eastAsia" w:ascii="仿宋_GB2312" w:hAnsi="仿宋" w:eastAsia="仿宋_GB2312"/>
          <w:sz w:val="36"/>
        </w:rPr>
        <w:fldChar w:fldCharType="begin"/>
      </w:r>
      <w:r>
        <w:rPr>
          <w:rStyle w:val="15"/>
          <w:rFonts w:hint="eastAsia" w:ascii="仿宋_GB2312" w:hAnsi="仿宋" w:eastAsia="仿宋_GB2312"/>
          <w:sz w:val="36"/>
        </w:rPr>
        <w:instrText xml:space="preserve"> PAGEREF _Toc515961864 \h </w:instrText>
      </w:r>
      <w:r>
        <w:rPr>
          <w:rStyle w:val="15"/>
          <w:rFonts w:hint="eastAsia" w:ascii="仿宋_GB2312" w:hAnsi="仿宋" w:eastAsia="仿宋_GB2312"/>
          <w:sz w:val="36"/>
        </w:rPr>
        <w:fldChar w:fldCharType="separate"/>
      </w:r>
      <w:r>
        <w:rPr>
          <w:rStyle w:val="15"/>
          <w:rFonts w:ascii="仿宋_GB2312" w:hAnsi="仿宋" w:eastAsia="仿宋_GB2312"/>
          <w:sz w:val="36"/>
        </w:rPr>
        <w:t>3</w:t>
      </w:r>
      <w:r>
        <w:rPr>
          <w:rStyle w:val="15"/>
          <w:rFonts w:hint="eastAsia" w:ascii="仿宋_GB2312" w:hAnsi="仿宋" w:eastAsia="仿宋_GB2312"/>
          <w:sz w:val="36"/>
        </w:rPr>
        <w:fldChar w:fldCharType="end"/>
      </w:r>
      <w:r>
        <w:rPr>
          <w:rStyle w:val="15"/>
          <w:rFonts w:hint="eastAsia" w:ascii="仿宋_GB2312" w:hAnsi="仿宋" w:eastAsia="仿宋_GB2312"/>
          <w:sz w:val="36"/>
        </w:rPr>
        <w:fldChar w:fldCharType="end"/>
      </w:r>
    </w:p>
    <w:p>
      <w:pPr>
        <w:pStyle w:val="10"/>
        <w:tabs>
          <w:tab w:val="right" w:leader="dot" w:pos="9742"/>
        </w:tabs>
        <w:spacing w:line="360" w:lineRule="auto"/>
        <w:rPr>
          <w:rStyle w:val="15"/>
          <w:rFonts w:ascii="仿宋_GB2312" w:hAnsi="仿宋" w:eastAsia="仿宋_GB2312"/>
          <w:sz w:val="36"/>
        </w:rPr>
      </w:pPr>
      <w:r>
        <w:fldChar w:fldCharType="begin"/>
      </w:r>
      <w:r>
        <w:instrText xml:space="preserve"> HYPERLINK \l "_Toc515961865" </w:instrText>
      </w:r>
      <w:r>
        <w:fldChar w:fldCharType="separate"/>
      </w:r>
      <w:r>
        <w:rPr>
          <w:rStyle w:val="15"/>
          <w:rFonts w:hint="eastAsia" w:ascii="仿宋_GB2312" w:hAnsi="仿宋" w:eastAsia="仿宋_GB2312"/>
          <w:sz w:val="36"/>
        </w:rPr>
        <w:t>四、递交响应文件截止（评标）时间、地点</w:t>
      </w:r>
      <w:r>
        <w:rPr>
          <w:rStyle w:val="15"/>
          <w:rFonts w:hint="eastAsia" w:ascii="仿宋_GB2312" w:hAnsi="仿宋" w:eastAsia="仿宋_GB2312"/>
          <w:sz w:val="36"/>
        </w:rPr>
        <w:tab/>
      </w:r>
      <w:r>
        <w:rPr>
          <w:rStyle w:val="15"/>
          <w:rFonts w:hint="eastAsia" w:ascii="仿宋_GB2312" w:hAnsi="仿宋" w:eastAsia="仿宋_GB2312"/>
          <w:sz w:val="36"/>
        </w:rPr>
        <w:fldChar w:fldCharType="begin"/>
      </w:r>
      <w:r>
        <w:rPr>
          <w:rStyle w:val="15"/>
          <w:rFonts w:hint="eastAsia" w:ascii="仿宋_GB2312" w:hAnsi="仿宋" w:eastAsia="仿宋_GB2312"/>
          <w:sz w:val="36"/>
        </w:rPr>
        <w:instrText xml:space="preserve"> PAGEREF _Toc515961865 \h </w:instrText>
      </w:r>
      <w:r>
        <w:rPr>
          <w:rStyle w:val="15"/>
          <w:rFonts w:hint="eastAsia" w:ascii="仿宋_GB2312" w:hAnsi="仿宋" w:eastAsia="仿宋_GB2312"/>
          <w:sz w:val="36"/>
        </w:rPr>
        <w:fldChar w:fldCharType="separate"/>
      </w:r>
      <w:r>
        <w:rPr>
          <w:rStyle w:val="15"/>
          <w:rFonts w:ascii="仿宋_GB2312" w:hAnsi="仿宋" w:eastAsia="仿宋_GB2312"/>
          <w:sz w:val="36"/>
        </w:rPr>
        <w:t>4</w:t>
      </w:r>
      <w:r>
        <w:rPr>
          <w:rStyle w:val="15"/>
          <w:rFonts w:hint="eastAsia" w:ascii="仿宋_GB2312" w:hAnsi="仿宋" w:eastAsia="仿宋_GB2312"/>
          <w:sz w:val="36"/>
        </w:rPr>
        <w:fldChar w:fldCharType="end"/>
      </w:r>
      <w:r>
        <w:rPr>
          <w:rStyle w:val="15"/>
          <w:rFonts w:hint="eastAsia" w:ascii="仿宋_GB2312" w:hAnsi="仿宋" w:eastAsia="仿宋_GB2312"/>
          <w:sz w:val="36"/>
        </w:rPr>
        <w:fldChar w:fldCharType="end"/>
      </w:r>
    </w:p>
    <w:p>
      <w:pPr>
        <w:pStyle w:val="10"/>
        <w:tabs>
          <w:tab w:val="right" w:leader="dot" w:pos="9742"/>
        </w:tabs>
        <w:spacing w:line="360" w:lineRule="auto"/>
        <w:rPr>
          <w:rStyle w:val="15"/>
          <w:rFonts w:ascii="仿宋_GB2312" w:hAnsi="仿宋" w:eastAsia="仿宋_GB2312"/>
          <w:sz w:val="36"/>
        </w:rPr>
      </w:pPr>
      <w:r>
        <w:fldChar w:fldCharType="begin"/>
      </w:r>
      <w:r>
        <w:instrText xml:space="preserve"> HYPERLINK \l "_Toc515961866" </w:instrText>
      </w:r>
      <w:r>
        <w:fldChar w:fldCharType="separate"/>
      </w:r>
      <w:r>
        <w:rPr>
          <w:rStyle w:val="15"/>
          <w:rFonts w:hint="eastAsia" w:ascii="仿宋_GB2312" w:hAnsi="仿宋" w:eastAsia="仿宋_GB2312"/>
          <w:sz w:val="36"/>
        </w:rPr>
        <w:t>五、联系方式</w:t>
      </w:r>
      <w:r>
        <w:rPr>
          <w:rStyle w:val="15"/>
          <w:rFonts w:hint="eastAsia" w:ascii="仿宋_GB2312" w:hAnsi="仿宋" w:eastAsia="仿宋_GB2312"/>
          <w:sz w:val="36"/>
        </w:rPr>
        <w:tab/>
      </w:r>
      <w:r>
        <w:rPr>
          <w:rStyle w:val="15"/>
          <w:rFonts w:hint="eastAsia" w:ascii="仿宋_GB2312" w:hAnsi="仿宋" w:eastAsia="仿宋_GB2312"/>
          <w:sz w:val="36"/>
        </w:rPr>
        <w:fldChar w:fldCharType="begin"/>
      </w:r>
      <w:r>
        <w:rPr>
          <w:rStyle w:val="15"/>
          <w:rFonts w:hint="eastAsia" w:ascii="仿宋_GB2312" w:hAnsi="仿宋" w:eastAsia="仿宋_GB2312"/>
          <w:sz w:val="36"/>
        </w:rPr>
        <w:instrText xml:space="preserve"> PAGEREF _Toc515961866 \h </w:instrText>
      </w:r>
      <w:r>
        <w:rPr>
          <w:rStyle w:val="15"/>
          <w:rFonts w:hint="eastAsia" w:ascii="仿宋_GB2312" w:hAnsi="仿宋" w:eastAsia="仿宋_GB2312"/>
          <w:sz w:val="36"/>
        </w:rPr>
        <w:fldChar w:fldCharType="separate"/>
      </w:r>
      <w:r>
        <w:rPr>
          <w:rStyle w:val="15"/>
          <w:rFonts w:ascii="仿宋_GB2312" w:hAnsi="仿宋" w:eastAsia="仿宋_GB2312"/>
          <w:sz w:val="36"/>
        </w:rPr>
        <w:t>4</w:t>
      </w:r>
      <w:r>
        <w:rPr>
          <w:rStyle w:val="15"/>
          <w:rFonts w:hint="eastAsia" w:ascii="仿宋_GB2312" w:hAnsi="仿宋" w:eastAsia="仿宋_GB2312"/>
          <w:sz w:val="36"/>
        </w:rPr>
        <w:fldChar w:fldCharType="end"/>
      </w:r>
      <w:r>
        <w:rPr>
          <w:rStyle w:val="15"/>
          <w:rFonts w:hint="eastAsia" w:ascii="仿宋_GB2312" w:hAnsi="仿宋" w:eastAsia="仿宋_GB2312"/>
          <w:sz w:val="36"/>
        </w:rPr>
        <w:fldChar w:fldCharType="end"/>
      </w:r>
    </w:p>
    <w:p>
      <w:pPr>
        <w:pStyle w:val="9"/>
        <w:tabs>
          <w:tab w:val="right" w:leader="dot" w:pos="9742"/>
        </w:tabs>
        <w:spacing w:line="360" w:lineRule="auto"/>
        <w:rPr>
          <w:rStyle w:val="15"/>
          <w:rFonts w:ascii="仿宋_GB2312" w:hAnsi="仿宋" w:eastAsia="仿宋_GB2312"/>
          <w:sz w:val="36"/>
        </w:rPr>
      </w:pPr>
      <w:r>
        <w:fldChar w:fldCharType="begin"/>
      </w:r>
      <w:r>
        <w:instrText xml:space="preserve"> HYPERLINK \l "_Toc515961867" </w:instrText>
      </w:r>
      <w:r>
        <w:fldChar w:fldCharType="separate"/>
      </w:r>
      <w:r>
        <w:rPr>
          <w:rStyle w:val="15"/>
          <w:rFonts w:hint="eastAsia" w:ascii="仿宋_GB2312" w:hAnsi="仿宋" w:eastAsia="仿宋_GB2312"/>
          <w:sz w:val="36"/>
        </w:rPr>
        <w:t>第二章 采购内容与技术要求</w:t>
      </w:r>
      <w:r>
        <w:rPr>
          <w:rStyle w:val="15"/>
          <w:rFonts w:hint="eastAsia" w:ascii="仿宋_GB2312" w:hAnsi="仿宋" w:eastAsia="仿宋_GB2312"/>
          <w:sz w:val="36"/>
        </w:rPr>
        <w:tab/>
      </w:r>
      <w:r>
        <w:rPr>
          <w:rStyle w:val="15"/>
          <w:rFonts w:hint="eastAsia" w:ascii="仿宋_GB2312" w:hAnsi="仿宋" w:eastAsia="仿宋_GB2312"/>
          <w:sz w:val="36"/>
        </w:rPr>
        <w:fldChar w:fldCharType="begin"/>
      </w:r>
      <w:r>
        <w:rPr>
          <w:rStyle w:val="15"/>
          <w:rFonts w:hint="eastAsia" w:ascii="仿宋_GB2312" w:hAnsi="仿宋" w:eastAsia="仿宋_GB2312"/>
          <w:sz w:val="36"/>
        </w:rPr>
        <w:instrText xml:space="preserve"> PAGEREF _Toc515961867 \h </w:instrText>
      </w:r>
      <w:r>
        <w:rPr>
          <w:rStyle w:val="15"/>
          <w:rFonts w:hint="eastAsia" w:ascii="仿宋_GB2312" w:hAnsi="仿宋" w:eastAsia="仿宋_GB2312"/>
          <w:sz w:val="36"/>
        </w:rPr>
        <w:fldChar w:fldCharType="separate"/>
      </w:r>
      <w:r>
        <w:rPr>
          <w:rStyle w:val="15"/>
          <w:rFonts w:ascii="仿宋_GB2312" w:hAnsi="仿宋" w:eastAsia="仿宋_GB2312"/>
          <w:sz w:val="36"/>
        </w:rPr>
        <w:t>5</w:t>
      </w:r>
      <w:r>
        <w:rPr>
          <w:rStyle w:val="15"/>
          <w:rFonts w:hint="eastAsia" w:ascii="仿宋_GB2312" w:hAnsi="仿宋" w:eastAsia="仿宋_GB2312"/>
          <w:sz w:val="36"/>
        </w:rPr>
        <w:fldChar w:fldCharType="end"/>
      </w:r>
      <w:r>
        <w:rPr>
          <w:rStyle w:val="15"/>
          <w:rFonts w:hint="eastAsia" w:ascii="仿宋_GB2312" w:hAnsi="仿宋" w:eastAsia="仿宋_GB2312"/>
          <w:sz w:val="36"/>
        </w:rPr>
        <w:fldChar w:fldCharType="end"/>
      </w:r>
    </w:p>
    <w:p>
      <w:pPr>
        <w:pStyle w:val="10"/>
        <w:tabs>
          <w:tab w:val="right" w:leader="dot" w:pos="9742"/>
        </w:tabs>
        <w:spacing w:line="360" w:lineRule="auto"/>
        <w:rPr>
          <w:rStyle w:val="15"/>
          <w:rFonts w:ascii="仿宋_GB2312" w:hAnsi="仿宋" w:eastAsia="仿宋_GB2312"/>
          <w:sz w:val="36"/>
        </w:rPr>
      </w:pPr>
      <w:r>
        <w:fldChar w:fldCharType="begin"/>
      </w:r>
      <w:r>
        <w:instrText xml:space="preserve"> HYPERLINK \l "_Toc515961868" </w:instrText>
      </w:r>
      <w:r>
        <w:fldChar w:fldCharType="separate"/>
      </w:r>
      <w:r>
        <w:rPr>
          <w:rStyle w:val="15"/>
          <w:rFonts w:hint="eastAsia" w:ascii="仿宋_GB2312" w:hAnsi="仿宋" w:eastAsia="仿宋_GB2312"/>
          <w:sz w:val="36"/>
        </w:rPr>
        <w:t>一、适用范围</w:t>
      </w:r>
      <w:r>
        <w:rPr>
          <w:rStyle w:val="15"/>
          <w:rFonts w:hint="eastAsia" w:ascii="仿宋_GB2312" w:hAnsi="仿宋" w:eastAsia="仿宋_GB2312"/>
          <w:sz w:val="36"/>
        </w:rPr>
        <w:tab/>
      </w:r>
      <w:r>
        <w:rPr>
          <w:rStyle w:val="15"/>
          <w:rFonts w:hint="eastAsia" w:ascii="仿宋_GB2312" w:hAnsi="仿宋" w:eastAsia="仿宋_GB2312"/>
          <w:sz w:val="36"/>
        </w:rPr>
        <w:fldChar w:fldCharType="begin"/>
      </w:r>
      <w:r>
        <w:rPr>
          <w:rStyle w:val="15"/>
          <w:rFonts w:hint="eastAsia" w:ascii="仿宋_GB2312" w:hAnsi="仿宋" w:eastAsia="仿宋_GB2312"/>
          <w:sz w:val="36"/>
        </w:rPr>
        <w:instrText xml:space="preserve"> PAGEREF _Toc515961868 \h </w:instrText>
      </w:r>
      <w:r>
        <w:rPr>
          <w:rStyle w:val="15"/>
          <w:rFonts w:hint="eastAsia" w:ascii="仿宋_GB2312" w:hAnsi="仿宋" w:eastAsia="仿宋_GB2312"/>
          <w:sz w:val="36"/>
        </w:rPr>
        <w:fldChar w:fldCharType="separate"/>
      </w:r>
      <w:r>
        <w:rPr>
          <w:rStyle w:val="15"/>
          <w:rFonts w:ascii="仿宋_GB2312" w:hAnsi="仿宋" w:eastAsia="仿宋_GB2312"/>
          <w:sz w:val="36"/>
        </w:rPr>
        <w:t>5</w:t>
      </w:r>
      <w:r>
        <w:rPr>
          <w:rStyle w:val="15"/>
          <w:rFonts w:hint="eastAsia" w:ascii="仿宋_GB2312" w:hAnsi="仿宋" w:eastAsia="仿宋_GB2312"/>
          <w:sz w:val="36"/>
        </w:rPr>
        <w:fldChar w:fldCharType="end"/>
      </w:r>
      <w:r>
        <w:rPr>
          <w:rStyle w:val="15"/>
          <w:rFonts w:hint="eastAsia" w:ascii="仿宋_GB2312" w:hAnsi="仿宋" w:eastAsia="仿宋_GB2312"/>
          <w:sz w:val="36"/>
        </w:rPr>
        <w:fldChar w:fldCharType="end"/>
      </w:r>
    </w:p>
    <w:p>
      <w:pPr>
        <w:pStyle w:val="10"/>
        <w:tabs>
          <w:tab w:val="right" w:leader="dot" w:pos="9742"/>
        </w:tabs>
        <w:spacing w:line="360" w:lineRule="auto"/>
        <w:rPr>
          <w:rStyle w:val="15"/>
          <w:rFonts w:ascii="仿宋_GB2312" w:hAnsi="仿宋" w:eastAsia="仿宋_GB2312"/>
          <w:sz w:val="36"/>
        </w:rPr>
      </w:pPr>
      <w:r>
        <w:fldChar w:fldCharType="begin"/>
      </w:r>
      <w:r>
        <w:instrText xml:space="preserve"> HYPERLINK \l "_Toc515961869" </w:instrText>
      </w:r>
      <w:r>
        <w:fldChar w:fldCharType="separate"/>
      </w:r>
      <w:r>
        <w:rPr>
          <w:rStyle w:val="15"/>
          <w:rFonts w:hint="eastAsia" w:ascii="仿宋_GB2312" w:hAnsi="仿宋" w:eastAsia="仿宋_GB2312"/>
          <w:sz w:val="36"/>
        </w:rPr>
        <w:t>二、投标人投标报价须知</w:t>
      </w:r>
      <w:r>
        <w:rPr>
          <w:rStyle w:val="15"/>
          <w:rFonts w:hint="eastAsia" w:ascii="仿宋_GB2312" w:hAnsi="仿宋" w:eastAsia="仿宋_GB2312"/>
          <w:sz w:val="36"/>
        </w:rPr>
        <w:tab/>
      </w:r>
      <w:r>
        <w:rPr>
          <w:rStyle w:val="15"/>
          <w:rFonts w:hint="eastAsia" w:ascii="仿宋_GB2312" w:hAnsi="仿宋" w:eastAsia="仿宋_GB2312"/>
          <w:sz w:val="36"/>
        </w:rPr>
        <w:fldChar w:fldCharType="begin"/>
      </w:r>
      <w:r>
        <w:rPr>
          <w:rStyle w:val="15"/>
          <w:rFonts w:hint="eastAsia" w:ascii="仿宋_GB2312" w:hAnsi="仿宋" w:eastAsia="仿宋_GB2312"/>
          <w:sz w:val="36"/>
        </w:rPr>
        <w:instrText xml:space="preserve"> PAGEREF _Toc515961869 \h </w:instrText>
      </w:r>
      <w:r>
        <w:rPr>
          <w:rStyle w:val="15"/>
          <w:rFonts w:hint="eastAsia" w:ascii="仿宋_GB2312" w:hAnsi="仿宋" w:eastAsia="仿宋_GB2312"/>
          <w:sz w:val="36"/>
        </w:rPr>
        <w:fldChar w:fldCharType="separate"/>
      </w:r>
      <w:r>
        <w:rPr>
          <w:rStyle w:val="15"/>
          <w:rFonts w:ascii="仿宋_GB2312" w:hAnsi="仿宋" w:eastAsia="仿宋_GB2312"/>
          <w:sz w:val="36"/>
        </w:rPr>
        <w:t>5</w:t>
      </w:r>
      <w:r>
        <w:rPr>
          <w:rStyle w:val="15"/>
          <w:rFonts w:hint="eastAsia" w:ascii="仿宋_GB2312" w:hAnsi="仿宋" w:eastAsia="仿宋_GB2312"/>
          <w:sz w:val="36"/>
        </w:rPr>
        <w:fldChar w:fldCharType="end"/>
      </w:r>
      <w:r>
        <w:rPr>
          <w:rStyle w:val="15"/>
          <w:rFonts w:hint="eastAsia" w:ascii="仿宋_GB2312" w:hAnsi="仿宋" w:eastAsia="仿宋_GB2312"/>
          <w:sz w:val="36"/>
        </w:rPr>
        <w:fldChar w:fldCharType="end"/>
      </w:r>
    </w:p>
    <w:p>
      <w:pPr>
        <w:pStyle w:val="10"/>
        <w:tabs>
          <w:tab w:val="right" w:leader="dot" w:pos="9742"/>
        </w:tabs>
        <w:spacing w:line="360" w:lineRule="auto"/>
        <w:rPr>
          <w:rFonts w:ascii="仿宋_GB2312" w:eastAsia="仿宋_GB2312" w:hAnsiTheme="minorHAnsi" w:cstheme="minorBidi"/>
          <w:sz w:val="36"/>
          <w:szCs w:val="22"/>
        </w:rPr>
      </w:pPr>
      <w:r>
        <w:fldChar w:fldCharType="begin"/>
      </w:r>
      <w:r>
        <w:instrText xml:space="preserve"> HYPERLINK \l "_Toc515961870" </w:instrText>
      </w:r>
      <w:r>
        <w:fldChar w:fldCharType="separate"/>
      </w:r>
      <w:r>
        <w:rPr>
          <w:rStyle w:val="15"/>
          <w:rFonts w:hint="eastAsia" w:ascii="仿宋_GB2312" w:hAnsi="仿宋" w:eastAsia="仿宋_GB2312"/>
          <w:sz w:val="36"/>
        </w:rPr>
        <w:t>三、项目说明</w:t>
      </w:r>
      <w:r>
        <w:rPr>
          <w:rStyle w:val="15"/>
          <w:rFonts w:hint="eastAsia" w:ascii="仿宋_GB2312" w:hAnsi="仿宋" w:eastAsia="仿宋_GB2312"/>
          <w:sz w:val="36"/>
        </w:rPr>
        <w:tab/>
      </w:r>
      <w:r>
        <w:rPr>
          <w:rStyle w:val="15"/>
          <w:rFonts w:hint="eastAsia" w:ascii="仿宋_GB2312" w:hAnsi="仿宋" w:eastAsia="仿宋_GB2312"/>
          <w:sz w:val="36"/>
        </w:rPr>
        <w:fldChar w:fldCharType="begin"/>
      </w:r>
      <w:r>
        <w:rPr>
          <w:rStyle w:val="15"/>
          <w:rFonts w:hint="eastAsia" w:ascii="仿宋_GB2312" w:hAnsi="仿宋" w:eastAsia="仿宋_GB2312"/>
          <w:sz w:val="36"/>
        </w:rPr>
        <w:instrText xml:space="preserve"> PAGEREF _Toc515961870 \h </w:instrText>
      </w:r>
      <w:r>
        <w:rPr>
          <w:rStyle w:val="15"/>
          <w:rFonts w:hint="eastAsia" w:ascii="仿宋_GB2312" w:hAnsi="仿宋" w:eastAsia="仿宋_GB2312"/>
          <w:sz w:val="36"/>
        </w:rPr>
        <w:fldChar w:fldCharType="separate"/>
      </w:r>
      <w:r>
        <w:rPr>
          <w:rStyle w:val="15"/>
          <w:rFonts w:ascii="仿宋_GB2312" w:hAnsi="仿宋" w:eastAsia="仿宋_GB2312"/>
          <w:sz w:val="36"/>
        </w:rPr>
        <w:t>5</w:t>
      </w:r>
      <w:r>
        <w:rPr>
          <w:rStyle w:val="15"/>
          <w:rFonts w:hint="eastAsia" w:ascii="仿宋_GB2312" w:hAnsi="仿宋" w:eastAsia="仿宋_GB2312"/>
          <w:sz w:val="36"/>
        </w:rPr>
        <w:fldChar w:fldCharType="end"/>
      </w:r>
      <w:r>
        <w:rPr>
          <w:rStyle w:val="15"/>
          <w:rFonts w:hint="eastAsia" w:ascii="仿宋_GB2312" w:hAnsi="仿宋" w:eastAsia="仿宋_GB2312"/>
          <w:sz w:val="36"/>
        </w:rPr>
        <w:fldChar w:fldCharType="end"/>
      </w:r>
    </w:p>
    <w:p>
      <w:pPr>
        <w:pStyle w:val="9"/>
        <w:tabs>
          <w:tab w:val="right" w:leader="dot" w:pos="9742"/>
        </w:tabs>
        <w:spacing w:line="360" w:lineRule="auto"/>
        <w:rPr>
          <w:rFonts w:ascii="仿宋_GB2312" w:eastAsia="仿宋_GB2312" w:hAnsiTheme="minorHAnsi" w:cstheme="minorBidi"/>
          <w:sz w:val="36"/>
          <w:szCs w:val="22"/>
        </w:rPr>
      </w:pPr>
      <w:r>
        <w:fldChar w:fldCharType="begin"/>
      </w:r>
      <w:r>
        <w:instrText xml:space="preserve"> HYPERLINK \l "_Toc515961871" </w:instrText>
      </w:r>
      <w:r>
        <w:fldChar w:fldCharType="separate"/>
      </w:r>
      <w:r>
        <w:rPr>
          <w:rStyle w:val="15"/>
          <w:rFonts w:hint="eastAsia" w:ascii="仿宋_GB2312" w:hAnsi="仿宋" w:eastAsia="仿宋_GB2312"/>
          <w:sz w:val="36"/>
        </w:rPr>
        <w:t>第三章 投标人须知</w:t>
      </w:r>
      <w:r>
        <w:rPr>
          <w:rFonts w:hint="eastAsia" w:ascii="仿宋_GB2312" w:eastAsia="仿宋_GB2312"/>
          <w:sz w:val="36"/>
        </w:rPr>
        <w:tab/>
      </w:r>
      <w:r>
        <w:rPr>
          <w:rFonts w:hint="eastAsia" w:ascii="仿宋_GB2312" w:eastAsia="仿宋_GB2312"/>
          <w:sz w:val="36"/>
        </w:rPr>
        <w:fldChar w:fldCharType="begin"/>
      </w:r>
      <w:r>
        <w:rPr>
          <w:rFonts w:hint="eastAsia" w:ascii="仿宋_GB2312" w:eastAsia="仿宋_GB2312"/>
          <w:sz w:val="36"/>
        </w:rPr>
        <w:instrText xml:space="preserve"> PAGEREF _Toc515961871 \h </w:instrText>
      </w:r>
      <w:r>
        <w:rPr>
          <w:rFonts w:hint="eastAsia" w:ascii="仿宋_GB2312" w:eastAsia="仿宋_GB2312"/>
          <w:sz w:val="36"/>
        </w:rPr>
        <w:fldChar w:fldCharType="separate"/>
      </w:r>
      <w:r>
        <w:rPr>
          <w:rFonts w:ascii="仿宋_GB2312" w:eastAsia="仿宋_GB2312"/>
          <w:sz w:val="36"/>
        </w:rPr>
        <w:t>11</w:t>
      </w:r>
      <w:r>
        <w:rPr>
          <w:rFonts w:hint="eastAsia" w:ascii="仿宋_GB2312" w:eastAsia="仿宋_GB2312"/>
          <w:sz w:val="36"/>
        </w:rPr>
        <w:fldChar w:fldCharType="end"/>
      </w:r>
      <w:r>
        <w:rPr>
          <w:rFonts w:hint="eastAsia" w:ascii="仿宋_GB2312" w:eastAsia="仿宋_GB2312"/>
          <w:sz w:val="36"/>
        </w:rPr>
        <w:fldChar w:fldCharType="end"/>
      </w:r>
    </w:p>
    <w:p>
      <w:pPr>
        <w:pStyle w:val="10"/>
        <w:tabs>
          <w:tab w:val="right" w:leader="dot" w:pos="9742"/>
        </w:tabs>
        <w:spacing w:line="360" w:lineRule="auto"/>
        <w:rPr>
          <w:rFonts w:ascii="仿宋_GB2312" w:eastAsia="仿宋_GB2312" w:hAnsiTheme="minorHAnsi" w:cstheme="minorBidi"/>
          <w:sz w:val="36"/>
          <w:szCs w:val="22"/>
        </w:rPr>
      </w:pPr>
      <w:r>
        <w:fldChar w:fldCharType="begin"/>
      </w:r>
      <w:r>
        <w:instrText xml:space="preserve"> HYPERLINK \l "_Toc515961872" </w:instrText>
      </w:r>
      <w:r>
        <w:fldChar w:fldCharType="separate"/>
      </w:r>
      <w:r>
        <w:rPr>
          <w:rStyle w:val="15"/>
          <w:rFonts w:hint="eastAsia" w:ascii="仿宋_GB2312" w:hAnsi="仿宋" w:eastAsia="仿宋_GB2312"/>
          <w:sz w:val="36"/>
        </w:rPr>
        <w:t>一、供应商资格要求</w:t>
      </w:r>
      <w:r>
        <w:rPr>
          <w:rFonts w:hint="eastAsia" w:ascii="仿宋_GB2312" w:eastAsia="仿宋_GB2312"/>
          <w:sz w:val="36"/>
        </w:rPr>
        <w:tab/>
      </w:r>
      <w:r>
        <w:rPr>
          <w:rFonts w:hint="eastAsia" w:ascii="仿宋_GB2312" w:eastAsia="仿宋_GB2312"/>
          <w:sz w:val="36"/>
        </w:rPr>
        <w:fldChar w:fldCharType="begin"/>
      </w:r>
      <w:r>
        <w:rPr>
          <w:rFonts w:hint="eastAsia" w:ascii="仿宋_GB2312" w:eastAsia="仿宋_GB2312"/>
          <w:sz w:val="36"/>
        </w:rPr>
        <w:instrText xml:space="preserve"> PAGEREF _Toc515961872 \h </w:instrText>
      </w:r>
      <w:r>
        <w:rPr>
          <w:rFonts w:hint="eastAsia" w:ascii="仿宋_GB2312" w:eastAsia="仿宋_GB2312"/>
          <w:sz w:val="36"/>
        </w:rPr>
        <w:fldChar w:fldCharType="separate"/>
      </w:r>
      <w:r>
        <w:rPr>
          <w:rFonts w:ascii="仿宋_GB2312" w:eastAsia="仿宋_GB2312"/>
          <w:sz w:val="36"/>
        </w:rPr>
        <w:t>11</w:t>
      </w:r>
      <w:r>
        <w:rPr>
          <w:rFonts w:hint="eastAsia" w:ascii="仿宋_GB2312" w:eastAsia="仿宋_GB2312"/>
          <w:sz w:val="36"/>
        </w:rPr>
        <w:fldChar w:fldCharType="end"/>
      </w:r>
      <w:r>
        <w:rPr>
          <w:rFonts w:hint="eastAsia" w:ascii="仿宋_GB2312" w:eastAsia="仿宋_GB2312"/>
          <w:sz w:val="36"/>
        </w:rPr>
        <w:fldChar w:fldCharType="end"/>
      </w:r>
    </w:p>
    <w:p>
      <w:pPr>
        <w:pStyle w:val="10"/>
        <w:tabs>
          <w:tab w:val="right" w:leader="dot" w:pos="9742"/>
        </w:tabs>
        <w:spacing w:line="360" w:lineRule="auto"/>
        <w:rPr>
          <w:rFonts w:ascii="仿宋_GB2312" w:eastAsia="仿宋_GB2312" w:hAnsiTheme="minorHAnsi" w:cstheme="minorBidi"/>
          <w:sz w:val="36"/>
          <w:szCs w:val="22"/>
        </w:rPr>
      </w:pPr>
      <w:r>
        <w:fldChar w:fldCharType="begin"/>
      </w:r>
      <w:r>
        <w:instrText xml:space="preserve"> HYPERLINK \l "_Toc515961873" </w:instrText>
      </w:r>
      <w:r>
        <w:fldChar w:fldCharType="separate"/>
      </w:r>
      <w:r>
        <w:rPr>
          <w:rStyle w:val="15"/>
          <w:rFonts w:hint="eastAsia" w:ascii="仿宋_GB2312" w:hAnsi="仿宋" w:eastAsia="仿宋_GB2312"/>
          <w:sz w:val="36"/>
        </w:rPr>
        <w:t>二、响应文件的构成</w:t>
      </w:r>
      <w:r>
        <w:rPr>
          <w:rFonts w:hint="eastAsia" w:ascii="仿宋_GB2312" w:eastAsia="仿宋_GB2312"/>
          <w:sz w:val="36"/>
        </w:rPr>
        <w:tab/>
      </w:r>
      <w:r>
        <w:rPr>
          <w:rFonts w:hint="eastAsia" w:ascii="仿宋_GB2312" w:eastAsia="仿宋_GB2312"/>
          <w:sz w:val="36"/>
        </w:rPr>
        <w:fldChar w:fldCharType="begin"/>
      </w:r>
      <w:r>
        <w:rPr>
          <w:rFonts w:hint="eastAsia" w:ascii="仿宋_GB2312" w:eastAsia="仿宋_GB2312"/>
          <w:sz w:val="36"/>
        </w:rPr>
        <w:instrText xml:space="preserve"> PAGEREF _Toc515961873 \h </w:instrText>
      </w:r>
      <w:r>
        <w:rPr>
          <w:rFonts w:hint="eastAsia" w:ascii="仿宋_GB2312" w:eastAsia="仿宋_GB2312"/>
          <w:sz w:val="36"/>
        </w:rPr>
        <w:fldChar w:fldCharType="separate"/>
      </w:r>
      <w:r>
        <w:rPr>
          <w:rFonts w:ascii="仿宋_GB2312" w:eastAsia="仿宋_GB2312"/>
          <w:sz w:val="36"/>
        </w:rPr>
        <w:t>11</w:t>
      </w:r>
      <w:r>
        <w:rPr>
          <w:rFonts w:hint="eastAsia" w:ascii="仿宋_GB2312" w:eastAsia="仿宋_GB2312"/>
          <w:sz w:val="36"/>
        </w:rPr>
        <w:fldChar w:fldCharType="end"/>
      </w:r>
      <w:r>
        <w:rPr>
          <w:rFonts w:hint="eastAsia" w:ascii="仿宋_GB2312" w:eastAsia="仿宋_GB2312"/>
          <w:sz w:val="36"/>
        </w:rPr>
        <w:fldChar w:fldCharType="end"/>
      </w:r>
    </w:p>
    <w:p>
      <w:pPr>
        <w:pStyle w:val="10"/>
        <w:tabs>
          <w:tab w:val="right" w:leader="dot" w:pos="9742"/>
        </w:tabs>
        <w:spacing w:line="360" w:lineRule="auto"/>
        <w:rPr>
          <w:rFonts w:ascii="仿宋_GB2312" w:eastAsia="仿宋_GB2312" w:hAnsiTheme="minorHAnsi" w:cstheme="minorBidi"/>
          <w:b/>
          <w:sz w:val="36"/>
          <w:szCs w:val="22"/>
        </w:rPr>
      </w:pPr>
      <w:r>
        <w:fldChar w:fldCharType="begin"/>
      </w:r>
      <w:r>
        <w:instrText xml:space="preserve"> HYPERLINK \l "_Toc515961874" </w:instrText>
      </w:r>
      <w:r>
        <w:fldChar w:fldCharType="separate"/>
      </w:r>
      <w:r>
        <w:rPr>
          <w:rStyle w:val="15"/>
          <w:rFonts w:hint="eastAsia" w:ascii="仿宋_GB2312" w:hAnsi="仿宋" w:eastAsia="仿宋_GB2312"/>
          <w:sz w:val="36"/>
        </w:rPr>
        <w:t>三、评标与中标</w:t>
      </w:r>
      <w:r>
        <w:rPr>
          <w:rFonts w:hint="eastAsia" w:ascii="仿宋_GB2312" w:eastAsia="仿宋_GB2312"/>
          <w:sz w:val="36"/>
        </w:rPr>
        <w:tab/>
      </w:r>
      <w:r>
        <w:rPr>
          <w:rFonts w:hint="eastAsia" w:ascii="仿宋_GB2312" w:eastAsia="仿宋_GB2312"/>
          <w:sz w:val="36"/>
        </w:rPr>
        <w:fldChar w:fldCharType="begin"/>
      </w:r>
      <w:r>
        <w:rPr>
          <w:rFonts w:hint="eastAsia" w:ascii="仿宋_GB2312" w:eastAsia="仿宋_GB2312"/>
          <w:sz w:val="36"/>
        </w:rPr>
        <w:instrText xml:space="preserve"> PAGEREF _Toc515961874 \h </w:instrText>
      </w:r>
      <w:r>
        <w:rPr>
          <w:rFonts w:hint="eastAsia" w:ascii="仿宋_GB2312" w:eastAsia="仿宋_GB2312"/>
          <w:sz w:val="36"/>
        </w:rPr>
        <w:fldChar w:fldCharType="separate"/>
      </w:r>
      <w:r>
        <w:rPr>
          <w:rFonts w:ascii="仿宋_GB2312" w:eastAsia="仿宋_GB2312"/>
          <w:sz w:val="36"/>
        </w:rPr>
        <w:t>12</w:t>
      </w:r>
      <w:r>
        <w:rPr>
          <w:rFonts w:hint="eastAsia" w:ascii="仿宋_GB2312" w:eastAsia="仿宋_GB2312"/>
          <w:sz w:val="36"/>
        </w:rPr>
        <w:fldChar w:fldCharType="end"/>
      </w:r>
      <w:r>
        <w:rPr>
          <w:rFonts w:hint="eastAsia" w:ascii="仿宋_GB2312" w:eastAsia="仿宋_GB2312"/>
          <w:sz w:val="36"/>
        </w:rPr>
        <w:fldChar w:fldCharType="end"/>
      </w:r>
    </w:p>
    <w:p>
      <w:pPr>
        <w:pStyle w:val="9"/>
        <w:tabs>
          <w:tab w:val="right" w:leader="dot" w:pos="9742"/>
        </w:tabs>
        <w:spacing w:line="360" w:lineRule="auto"/>
        <w:rPr>
          <w:rFonts w:asciiTheme="minorHAnsi" w:hAnsiTheme="minorHAnsi" w:eastAsiaTheme="minorEastAsia" w:cstheme="minorBidi"/>
          <w:sz w:val="36"/>
          <w:szCs w:val="22"/>
        </w:rPr>
      </w:pPr>
      <w:r>
        <w:fldChar w:fldCharType="begin"/>
      </w:r>
      <w:r>
        <w:instrText xml:space="preserve"> HYPERLINK \l "_Toc515961875" </w:instrText>
      </w:r>
      <w:r>
        <w:fldChar w:fldCharType="separate"/>
      </w:r>
      <w:r>
        <w:rPr>
          <w:rStyle w:val="15"/>
          <w:rFonts w:hint="eastAsia" w:ascii="仿宋_GB2312" w:hAnsi="仿宋" w:eastAsia="仿宋_GB2312"/>
          <w:sz w:val="36"/>
        </w:rPr>
        <w:t>第四章、响应文件格式与要求(参考)</w:t>
      </w:r>
      <w:r>
        <w:rPr>
          <w:rFonts w:hint="eastAsia" w:ascii="仿宋_GB2312" w:eastAsia="仿宋_GB2312"/>
          <w:sz w:val="36"/>
        </w:rPr>
        <w:tab/>
      </w:r>
      <w:r>
        <w:rPr>
          <w:rFonts w:hint="eastAsia" w:ascii="仿宋_GB2312" w:eastAsia="仿宋_GB2312"/>
          <w:sz w:val="36"/>
        </w:rPr>
        <w:fldChar w:fldCharType="begin"/>
      </w:r>
      <w:r>
        <w:rPr>
          <w:rFonts w:hint="eastAsia" w:ascii="仿宋_GB2312" w:eastAsia="仿宋_GB2312"/>
          <w:sz w:val="36"/>
        </w:rPr>
        <w:instrText xml:space="preserve"> PAGEREF _Toc515961875 \h </w:instrText>
      </w:r>
      <w:r>
        <w:rPr>
          <w:rFonts w:hint="eastAsia" w:ascii="仿宋_GB2312" w:eastAsia="仿宋_GB2312"/>
          <w:sz w:val="36"/>
        </w:rPr>
        <w:fldChar w:fldCharType="separate"/>
      </w:r>
      <w:r>
        <w:rPr>
          <w:rFonts w:ascii="仿宋_GB2312" w:eastAsia="仿宋_GB2312"/>
          <w:sz w:val="36"/>
        </w:rPr>
        <w:t>15</w:t>
      </w:r>
      <w:r>
        <w:rPr>
          <w:rFonts w:hint="eastAsia" w:ascii="仿宋_GB2312" w:eastAsia="仿宋_GB2312"/>
          <w:sz w:val="36"/>
        </w:rPr>
        <w:fldChar w:fldCharType="end"/>
      </w:r>
      <w:r>
        <w:rPr>
          <w:rFonts w:hint="eastAsia" w:ascii="仿宋_GB2312" w:eastAsia="仿宋_GB2312"/>
          <w:sz w:val="36"/>
        </w:rPr>
        <w:fldChar w:fldCharType="end"/>
      </w:r>
    </w:p>
    <w:p>
      <w:pPr>
        <w:pStyle w:val="10"/>
        <w:tabs>
          <w:tab w:val="right" w:leader="dot" w:pos="9742"/>
        </w:tabs>
        <w:spacing w:line="360" w:lineRule="auto"/>
        <w:rPr>
          <w:rFonts w:ascii="仿宋_GB2312" w:hAnsi="仿宋" w:eastAsia="仿宋_GB2312"/>
          <w:sz w:val="44"/>
          <w:szCs w:val="32"/>
        </w:rPr>
      </w:pPr>
      <w:r>
        <w:rPr>
          <w:rFonts w:hint="eastAsia" w:ascii="仿宋_GB2312" w:hAnsi="仿宋" w:eastAsia="仿宋_GB2312"/>
          <w:sz w:val="72"/>
          <w:szCs w:val="32"/>
        </w:rPr>
        <w:fldChar w:fldCharType="end"/>
      </w:r>
    </w:p>
    <w:p/>
    <w:p/>
    <w:p/>
    <w:p/>
    <w:p/>
    <w:p/>
    <w:p>
      <w:pPr>
        <w:pStyle w:val="2"/>
        <w:spacing w:line="360" w:lineRule="auto"/>
        <w:jc w:val="both"/>
        <w:rPr>
          <w:rFonts w:ascii="仿宋" w:hAnsi="仿宋" w:eastAsia="仿宋"/>
        </w:rPr>
      </w:pPr>
      <w:bookmarkStart w:id="0" w:name="_Toc515961861"/>
      <w:r>
        <w:rPr>
          <w:rFonts w:hint="eastAsia" w:ascii="仿宋" w:hAnsi="仿宋" w:eastAsia="仿宋"/>
        </w:rPr>
        <w:t>第一章</w:t>
      </w:r>
      <w:r>
        <w:rPr>
          <w:rFonts w:ascii="仿宋" w:hAnsi="仿宋" w:eastAsia="仿宋"/>
        </w:rPr>
        <w:t xml:space="preserve"> </w:t>
      </w:r>
      <w:r>
        <w:rPr>
          <w:rFonts w:hint="eastAsia" w:ascii="仿宋" w:hAnsi="仿宋" w:eastAsia="仿宋"/>
        </w:rPr>
        <w:t>竞争性磋商公告</w:t>
      </w:r>
      <w:bookmarkEnd w:id="0"/>
    </w:p>
    <w:p>
      <w:pPr>
        <w:ind w:firstLine="560" w:firstLineChars="200"/>
        <w:jc w:val="left"/>
        <w:rPr>
          <w:rFonts w:ascii="仿宋" w:hAnsi="仿宋" w:eastAsia="仿宋"/>
          <w:sz w:val="28"/>
          <w:szCs w:val="28"/>
        </w:rPr>
      </w:pPr>
      <w:r>
        <w:rPr>
          <w:rFonts w:hint="eastAsia" w:ascii="仿宋" w:hAnsi="仿宋" w:eastAsia="仿宋"/>
          <w:sz w:val="28"/>
          <w:szCs w:val="28"/>
        </w:rPr>
        <w:t>鄂尔多斯机场物业服务有限公司拟采用竞争性磋商的方式对康巴什物业服务项目保洁、保安劳务进行采购，现邀请符合条件的供应商前来参与此次采购活动。</w:t>
      </w:r>
    </w:p>
    <w:p>
      <w:pPr>
        <w:pStyle w:val="3"/>
        <w:spacing w:line="360" w:lineRule="auto"/>
        <w:ind w:firstLine="562" w:firstLineChars="200"/>
        <w:rPr>
          <w:rFonts w:ascii="仿宋" w:hAnsi="仿宋" w:eastAsia="仿宋"/>
          <w:sz w:val="28"/>
          <w:szCs w:val="28"/>
        </w:rPr>
      </w:pPr>
      <w:bookmarkStart w:id="1" w:name="_Toc515961862"/>
      <w:r>
        <w:rPr>
          <w:rFonts w:hint="eastAsia" w:ascii="仿宋" w:hAnsi="仿宋" w:eastAsia="仿宋"/>
          <w:sz w:val="28"/>
          <w:szCs w:val="28"/>
        </w:rPr>
        <w:t>一、项目概况</w:t>
      </w:r>
      <w:bookmarkEnd w:id="1"/>
    </w:p>
    <w:p>
      <w:pPr>
        <w:ind w:firstLine="560" w:firstLineChars="200"/>
        <w:rPr>
          <w:rFonts w:ascii="仿宋" w:hAnsi="仿宋" w:eastAsia="仿宋"/>
          <w:sz w:val="28"/>
          <w:szCs w:val="28"/>
        </w:rPr>
      </w:pPr>
      <w:r>
        <w:rPr>
          <w:rFonts w:hint="eastAsia" w:ascii="仿宋" w:hAnsi="仿宋" w:eastAsia="仿宋"/>
          <w:sz w:val="28"/>
          <w:szCs w:val="28"/>
        </w:rPr>
        <w:t>（一）项目名称：康巴什物业服务项目保洁、保安劳务采购项目</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（二）项目编号：CG/WYGS-18-001-W</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（三）采购人：鄂尔多斯机场物业服务有限公司</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（四）资金来源：企业自筹</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（五）采购内容：</w:t>
      </w:r>
      <w:r>
        <w:rPr>
          <w:rFonts w:ascii="仿宋" w:hAnsi="仿宋" w:eastAsia="仿宋"/>
          <w:kern w:val="2"/>
          <w:sz w:val="28"/>
          <w:szCs w:val="28"/>
        </w:rPr>
        <w:t xml:space="preserve"> </w:t>
      </w:r>
    </w:p>
    <w:tbl>
      <w:tblPr>
        <w:tblStyle w:val="16"/>
        <w:tblW w:w="8828" w:type="dxa"/>
        <w:jc w:val="center"/>
        <w:tblInd w:w="-4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3223"/>
        <w:gridCol w:w="1029"/>
        <w:gridCol w:w="2024"/>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51" w:hRule="atLeast"/>
          <w:jc w:val="center"/>
        </w:trPr>
        <w:tc>
          <w:tcPr>
            <w:tcW w:w="851" w:type="dxa"/>
            <w:vAlign w:val="center"/>
          </w:tcPr>
          <w:p>
            <w:pPr>
              <w:spacing w:line="360" w:lineRule="auto"/>
              <w:jc w:val="center"/>
              <w:rPr>
                <w:rFonts w:ascii="仿宋" w:hAnsi="仿宋" w:eastAsia="仿宋"/>
                <w:b/>
                <w:sz w:val="28"/>
                <w:szCs w:val="28"/>
              </w:rPr>
            </w:pPr>
            <w:r>
              <w:rPr>
                <w:rFonts w:hint="eastAsia" w:ascii="仿宋" w:hAnsi="仿宋" w:eastAsia="仿宋"/>
                <w:b/>
                <w:sz w:val="28"/>
                <w:szCs w:val="28"/>
              </w:rPr>
              <w:t>序号</w:t>
            </w:r>
          </w:p>
        </w:tc>
        <w:tc>
          <w:tcPr>
            <w:tcW w:w="3223" w:type="dxa"/>
            <w:vAlign w:val="center"/>
          </w:tcPr>
          <w:p>
            <w:pPr>
              <w:spacing w:line="360" w:lineRule="auto"/>
              <w:jc w:val="center"/>
              <w:rPr>
                <w:rFonts w:ascii="仿宋" w:hAnsi="仿宋" w:eastAsia="仿宋"/>
                <w:b/>
                <w:sz w:val="28"/>
                <w:szCs w:val="28"/>
              </w:rPr>
            </w:pPr>
            <w:r>
              <w:rPr>
                <w:rFonts w:hint="eastAsia" w:ascii="仿宋" w:hAnsi="仿宋" w:eastAsia="仿宋"/>
                <w:b/>
                <w:sz w:val="28"/>
                <w:szCs w:val="28"/>
              </w:rPr>
              <w:t>名称</w:t>
            </w:r>
          </w:p>
        </w:tc>
        <w:tc>
          <w:tcPr>
            <w:tcW w:w="1029" w:type="dxa"/>
            <w:vAlign w:val="center"/>
          </w:tcPr>
          <w:p>
            <w:pPr>
              <w:spacing w:line="360" w:lineRule="auto"/>
              <w:jc w:val="center"/>
              <w:rPr>
                <w:rFonts w:ascii="仿宋" w:hAnsi="仿宋" w:eastAsia="仿宋"/>
                <w:b/>
                <w:sz w:val="28"/>
                <w:szCs w:val="28"/>
              </w:rPr>
            </w:pPr>
            <w:r>
              <w:rPr>
                <w:rFonts w:hint="eastAsia" w:ascii="仿宋" w:hAnsi="仿宋" w:eastAsia="仿宋"/>
                <w:b/>
                <w:sz w:val="28"/>
                <w:szCs w:val="28"/>
              </w:rPr>
              <w:t>数量</w:t>
            </w:r>
          </w:p>
        </w:tc>
        <w:tc>
          <w:tcPr>
            <w:tcW w:w="2024" w:type="dxa"/>
            <w:tcBorders>
              <w:left w:val="single" w:color="auto" w:sz="4" w:space="0"/>
            </w:tcBorders>
            <w:vAlign w:val="center"/>
          </w:tcPr>
          <w:p>
            <w:pPr>
              <w:spacing w:line="360" w:lineRule="auto"/>
              <w:jc w:val="center"/>
              <w:rPr>
                <w:rFonts w:ascii="仿宋" w:hAnsi="仿宋" w:eastAsia="仿宋"/>
                <w:b/>
                <w:sz w:val="28"/>
                <w:szCs w:val="28"/>
              </w:rPr>
            </w:pPr>
            <w:r>
              <w:rPr>
                <w:rFonts w:hint="eastAsia" w:ascii="仿宋" w:hAnsi="仿宋" w:eastAsia="仿宋"/>
                <w:b/>
                <w:sz w:val="28"/>
                <w:szCs w:val="28"/>
              </w:rPr>
              <w:t>技术规格、参数及要求</w:t>
            </w:r>
          </w:p>
        </w:tc>
        <w:tc>
          <w:tcPr>
            <w:tcW w:w="1701" w:type="dxa"/>
            <w:tcBorders>
              <w:left w:val="single" w:color="auto" w:sz="4" w:space="0"/>
            </w:tcBorders>
            <w:vAlign w:val="center"/>
          </w:tcPr>
          <w:p>
            <w:pPr>
              <w:tabs>
                <w:tab w:val="left" w:pos="598"/>
              </w:tabs>
              <w:spacing w:line="360" w:lineRule="auto"/>
              <w:jc w:val="center"/>
              <w:rPr>
                <w:rFonts w:ascii="仿宋" w:hAnsi="仿宋" w:eastAsia="仿宋"/>
                <w:b/>
                <w:sz w:val="28"/>
                <w:szCs w:val="28"/>
              </w:rPr>
            </w:pPr>
            <w:r>
              <w:rPr>
                <w:rFonts w:hint="eastAsia" w:ascii="仿宋" w:hAnsi="仿宋" w:eastAsia="仿宋"/>
                <w:b/>
                <w:sz w:val="28"/>
                <w:szCs w:val="28"/>
              </w:rPr>
              <w:t>预算金额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42" w:hRule="atLeast"/>
          <w:jc w:val="center"/>
        </w:trPr>
        <w:tc>
          <w:tcPr>
            <w:tcW w:w="851" w:type="dxa"/>
            <w:vAlign w:val="center"/>
          </w:tcPr>
          <w:p>
            <w:pPr>
              <w:spacing w:line="360" w:lineRule="auto"/>
              <w:jc w:val="center"/>
              <w:rPr>
                <w:rFonts w:ascii="仿宋" w:hAnsi="仿宋" w:eastAsia="仿宋"/>
                <w:sz w:val="28"/>
                <w:szCs w:val="28"/>
              </w:rPr>
            </w:pPr>
            <w:r>
              <w:rPr>
                <w:rFonts w:hint="eastAsia" w:ascii="仿宋" w:hAnsi="仿宋" w:eastAsia="仿宋"/>
                <w:sz w:val="28"/>
                <w:szCs w:val="28"/>
              </w:rPr>
              <w:t>1</w:t>
            </w:r>
          </w:p>
        </w:tc>
        <w:tc>
          <w:tcPr>
            <w:tcW w:w="3223" w:type="dxa"/>
            <w:vAlign w:val="center"/>
          </w:tcPr>
          <w:p>
            <w:pPr>
              <w:spacing w:line="360" w:lineRule="auto"/>
              <w:jc w:val="center"/>
              <w:rPr>
                <w:rFonts w:ascii="仿宋" w:hAnsi="仿宋" w:eastAsia="仿宋"/>
                <w:sz w:val="28"/>
                <w:szCs w:val="28"/>
              </w:rPr>
            </w:pPr>
            <w:r>
              <w:rPr>
                <w:rFonts w:hint="eastAsia" w:ascii="仿宋" w:hAnsi="仿宋" w:eastAsia="仿宋"/>
                <w:sz w:val="28"/>
                <w:szCs w:val="28"/>
              </w:rPr>
              <w:t>康巴什物业服务项目保洁、保安劳务采购项目</w:t>
            </w:r>
          </w:p>
        </w:tc>
        <w:tc>
          <w:tcPr>
            <w:tcW w:w="1029" w:type="dxa"/>
            <w:vAlign w:val="center"/>
          </w:tcPr>
          <w:p>
            <w:pPr>
              <w:spacing w:line="360" w:lineRule="auto"/>
              <w:jc w:val="center"/>
              <w:rPr>
                <w:rFonts w:ascii="仿宋" w:hAnsi="仿宋" w:eastAsia="仿宋"/>
                <w:sz w:val="28"/>
                <w:szCs w:val="28"/>
              </w:rPr>
            </w:pPr>
            <w:r>
              <w:rPr>
                <w:rFonts w:hint="eastAsia" w:ascii="仿宋" w:hAnsi="仿宋" w:eastAsia="仿宋"/>
                <w:sz w:val="28"/>
                <w:szCs w:val="28"/>
              </w:rPr>
              <w:t>1</w:t>
            </w:r>
          </w:p>
        </w:tc>
        <w:tc>
          <w:tcPr>
            <w:tcW w:w="2024" w:type="dxa"/>
            <w:tcBorders>
              <w:left w:val="single" w:color="auto" w:sz="4" w:space="0"/>
            </w:tcBorders>
            <w:vAlign w:val="center"/>
          </w:tcPr>
          <w:p>
            <w:pPr>
              <w:spacing w:line="360" w:lineRule="auto"/>
              <w:jc w:val="center"/>
              <w:rPr>
                <w:rFonts w:ascii="仿宋" w:hAnsi="仿宋" w:eastAsia="仿宋"/>
                <w:color w:val="0D0D0D"/>
                <w:sz w:val="28"/>
                <w:szCs w:val="28"/>
              </w:rPr>
            </w:pPr>
            <w:r>
              <w:rPr>
                <w:rFonts w:hint="eastAsia" w:ascii="仿宋" w:hAnsi="仿宋" w:eastAsia="仿宋"/>
                <w:sz w:val="28"/>
                <w:szCs w:val="28"/>
              </w:rPr>
              <w:t>详见招标文件</w:t>
            </w:r>
          </w:p>
        </w:tc>
        <w:tc>
          <w:tcPr>
            <w:tcW w:w="1701" w:type="dxa"/>
            <w:tcBorders>
              <w:left w:val="single" w:color="auto" w:sz="4" w:space="0"/>
            </w:tcBorders>
            <w:vAlign w:val="center"/>
          </w:tcPr>
          <w:p>
            <w:pPr>
              <w:spacing w:line="360" w:lineRule="auto"/>
              <w:jc w:val="center"/>
              <w:rPr>
                <w:rFonts w:ascii="宋体"/>
                <w:sz w:val="28"/>
                <w:szCs w:val="28"/>
              </w:rPr>
            </w:pPr>
            <w:r>
              <w:rPr>
                <w:rFonts w:hint="eastAsia" w:ascii="宋体"/>
                <w:sz w:val="28"/>
                <w:szCs w:val="28"/>
              </w:rPr>
              <w:t>26.29万</w:t>
            </w:r>
          </w:p>
          <w:p>
            <w:pPr>
              <w:spacing w:line="360" w:lineRule="auto"/>
              <w:jc w:val="center"/>
              <w:rPr>
                <w:rFonts w:ascii="宋体"/>
                <w:sz w:val="28"/>
                <w:szCs w:val="28"/>
              </w:rPr>
            </w:pPr>
            <w:r>
              <w:rPr>
                <w:rFonts w:hint="eastAsia" w:ascii="宋体"/>
                <w:sz w:val="28"/>
                <w:szCs w:val="28"/>
              </w:rPr>
              <w:t>（含税）</w:t>
            </w:r>
          </w:p>
        </w:tc>
      </w:tr>
    </w:tbl>
    <w:p>
      <w:pPr>
        <w:pStyle w:val="3"/>
        <w:spacing w:line="360" w:lineRule="auto"/>
        <w:ind w:firstLine="562" w:firstLineChars="200"/>
        <w:rPr>
          <w:rFonts w:ascii="仿宋" w:hAnsi="仿宋" w:eastAsia="仿宋"/>
          <w:sz w:val="28"/>
          <w:szCs w:val="28"/>
        </w:rPr>
      </w:pPr>
      <w:bookmarkStart w:id="2" w:name="_Toc515961863"/>
      <w:r>
        <w:rPr>
          <w:rFonts w:hint="eastAsia" w:ascii="仿宋" w:hAnsi="仿宋" w:eastAsia="仿宋"/>
          <w:sz w:val="28"/>
          <w:szCs w:val="28"/>
        </w:rPr>
        <w:t>二、供应商的资格要求</w:t>
      </w:r>
      <w:bookmarkEnd w:id="2"/>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（一）供应商应符合《中华人民共和国政府采购法》第二十二条规定的条件；</w:t>
      </w:r>
    </w:p>
    <w:p>
      <w:pPr>
        <w:spacing w:line="360" w:lineRule="auto"/>
        <w:ind w:firstLine="560" w:firstLineChars="200"/>
        <w:rPr>
          <w:rFonts w:ascii="仿宋" w:hAnsi="仿宋" w:eastAsia="仿宋"/>
          <w:color w:val="000000"/>
          <w:sz w:val="28"/>
          <w:szCs w:val="28"/>
        </w:rPr>
      </w:pPr>
      <w:r>
        <w:rPr>
          <w:rFonts w:hint="eastAsia" w:ascii="仿宋" w:hAnsi="仿宋" w:eastAsia="仿宋" w:cs="宋体"/>
          <w:bCs/>
          <w:kern w:val="0"/>
          <w:sz w:val="28"/>
        </w:rPr>
        <w:t>（二）投标方企业</w:t>
      </w:r>
      <w:r>
        <w:rPr>
          <w:rFonts w:hint="eastAsia" w:ascii="仿宋" w:hAnsi="仿宋" w:eastAsia="仿宋"/>
          <w:color w:val="000000"/>
          <w:sz w:val="28"/>
          <w:szCs w:val="28"/>
        </w:rPr>
        <w:t>工商注册所在地或项目所在地检察机关出具的《检察机关行贿犯罪档案查询结果告知函》（在有效期范围内）</w:t>
      </w:r>
    </w:p>
    <w:p>
      <w:pPr>
        <w:pStyle w:val="3"/>
        <w:spacing w:line="360" w:lineRule="auto"/>
        <w:ind w:firstLine="562" w:firstLineChars="200"/>
        <w:rPr>
          <w:rFonts w:ascii="仿宋" w:hAnsi="仿宋" w:eastAsia="仿宋"/>
          <w:sz w:val="28"/>
          <w:szCs w:val="28"/>
        </w:rPr>
      </w:pPr>
      <w:bookmarkStart w:id="3" w:name="_Toc515961864"/>
      <w:r>
        <w:rPr>
          <w:rFonts w:hint="eastAsia" w:ascii="仿宋" w:hAnsi="仿宋" w:eastAsia="仿宋"/>
          <w:sz w:val="28"/>
          <w:szCs w:val="28"/>
        </w:rPr>
        <w:t>三、获取采购文件的时间、地点、方式</w:t>
      </w:r>
      <w:bookmarkEnd w:id="3"/>
    </w:p>
    <w:p>
      <w:pPr>
        <w:spacing w:line="360" w:lineRule="auto"/>
        <w:ind w:firstLine="560" w:firstLineChars="200"/>
        <w:textAlignment w:val="baseline"/>
        <w:rPr>
          <w:rFonts w:ascii="仿宋" w:hAnsi="仿宋" w:eastAsia="仿宋"/>
          <w:sz w:val="28"/>
          <w:szCs w:val="28"/>
        </w:rPr>
      </w:pPr>
      <w:r>
        <w:rPr>
          <w:rFonts w:hint="eastAsia" w:ascii="仿宋" w:hAnsi="仿宋" w:eastAsia="仿宋"/>
          <w:sz w:val="28"/>
          <w:szCs w:val="28"/>
        </w:rPr>
        <w:t>符合上述条件的供应商可于2018年</w:t>
      </w:r>
      <w:r>
        <w:rPr>
          <w:rFonts w:hint="eastAsia" w:ascii="仿宋" w:hAnsi="仿宋" w:eastAsia="仿宋"/>
          <w:color w:val="000000"/>
          <w:sz w:val="28"/>
          <w:szCs w:val="28"/>
        </w:rPr>
        <w:t>6</w:t>
      </w:r>
      <w:r>
        <w:rPr>
          <w:rFonts w:hint="eastAsia" w:ascii="仿宋" w:hAnsi="仿宋" w:eastAsia="仿宋"/>
          <w:sz w:val="28"/>
          <w:szCs w:val="28"/>
        </w:rPr>
        <w:t>月</w:t>
      </w:r>
      <w:r>
        <w:rPr>
          <w:rFonts w:hint="eastAsia" w:ascii="仿宋" w:hAnsi="仿宋" w:eastAsia="仿宋"/>
          <w:color w:val="000000"/>
          <w:sz w:val="28"/>
          <w:szCs w:val="28"/>
        </w:rPr>
        <w:t>2</w:t>
      </w:r>
      <w:r>
        <w:rPr>
          <w:rFonts w:hint="eastAsia" w:ascii="仿宋" w:hAnsi="仿宋" w:eastAsia="仿宋"/>
          <w:color w:val="000000"/>
          <w:sz w:val="28"/>
          <w:szCs w:val="28"/>
          <w:lang w:val="en-US" w:eastAsia="zh-CN"/>
        </w:rPr>
        <w:t>0</w:t>
      </w:r>
      <w:bookmarkStart w:id="54" w:name="_GoBack"/>
      <w:bookmarkEnd w:id="54"/>
      <w:r>
        <w:rPr>
          <w:rFonts w:hint="eastAsia" w:ascii="仿宋" w:hAnsi="仿宋" w:eastAsia="仿宋"/>
          <w:sz w:val="28"/>
          <w:szCs w:val="28"/>
        </w:rPr>
        <w:t>日起登录鄂尔多斯机场管理集团有限公司网站页面（网址：</w:t>
      </w:r>
      <w:r>
        <w:rPr>
          <w:rFonts w:ascii="仿宋" w:hAnsi="仿宋" w:eastAsia="仿宋"/>
          <w:sz w:val="28"/>
          <w:szCs w:val="28"/>
        </w:rPr>
        <w:t>http://ordosairport.com/</w:t>
      </w:r>
      <w:r>
        <w:rPr>
          <w:rFonts w:hint="eastAsia" w:ascii="仿宋" w:hAnsi="仿宋" w:eastAsia="仿宋"/>
          <w:sz w:val="28"/>
          <w:szCs w:val="28"/>
        </w:rPr>
        <w:t>），点击“公告”栏中的“招标信息”栏，查询采购信息，点击信息公告页面左下角“附件”即可浏览、下载采购文件。</w:t>
      </w:r>
    </w:p>
    <w:p>
      <w:pPr>
        <w:pStyle w:val="3"/>
        <w:spacing w:line="360" w:lineRule="auto"/>
        <w:ind w:firstLine="562" w:firstLineChars="200"/>
        <w:rPr>
          <w:rFonts w:ascii="仿宋" w:hAnsi="仿宋" w:eastAsia="仿宋"/>
          <w:sz w:val="28"/>
          <w:szCs w:val="28"/>
        </w:rPr>
      </w:pPr>
      <w:bookmarkStart w:id="4" w:name="_Toc515961865"/>
      <w:r>
        <w:rPr>
          <w:rFonts w:hint="eastAsia" w:ascii="仿宋" w:hAnsi="仿宋" w:eastAsia="仿宋"/>
          <w:sz w:val="28"/>
          <w:szCs w:val="28"/>
        </w:rPr>
        <w:t>四、递交响应文件截止（评标）时间、地点</w:t>
      </w:r>
      <w:bookmarkEnd w:id="4"/>
    </w:p>
    <w:p>
      <w:pPr>
        <w:spacing w:line="360" w:lineRule="auto"/>
        <w:ind w:firstLine="560" w:firstLineChars="200"/>
        <w:rPr>
          <w:rFonts w:ascii="仿宋" w:hAnsi="仿宋" w:eastAsia="仿宋"/>
          <w:sz w:val="28"/>
          <w:szCs w:val="28"/>
        </w:rPr>
      </w:pPr>
      <w:r>
        <w:rPr>
          <w:rFonts w:hint="eastAsia" w:ascii="仿宋" w:hAnsi="仿宋" w:eastAsia="仿宋"/>
          <w:sz w:val="28"/>
          <w:szCs w:val="28"/>
        </w:rPr>
        <w:t>递交响应文件截止（评标）时间：2018年6月26日上午9:</w:t>
      </w:r>
      <w:r>
        <w:rPr>
          <w:rFonts w:hint="eastAsia" w:ascii="仿宋" w:hAnsi="仿宋" w:eastAsia="仿宋"/>
          <w:sz w:val="28"/>
          <w:szCs w:val="28"/>
          <w:lang w:val="en-US" w:eastAsia="zh-CN"/>
        </w:rPr>
        <w:t>3</w:t>
      </w:r>
      <w:r>
        <w:rPr>
          <w:rFonts w:hint="eastAsia" w:ascii="仿宋" w:hAnsi="仿宋" w:eastAsia="仿宋"/>
          <w:sz w:val="28"/>
          <w:szCs w:val="28"/>
        </w:rPr>
        <w:t>0</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响应文件时间开标及评标地点：2018年6月26日上午9:30在鄂尔多斯国际机场综合办公楼2楼208开标室。</w:t>
      </w:r>
    </w:p>
    <w:p>
      <w:pPr>
        <w:pStyle w:val="3"/>
        <w:spacing w:line="360" w:lineRule="auto"/>
        <w:ind w:firstLine="551" w:firstLineChars="196"/>
        <w:rPr>
          <w:rFonts w:ascii="仿宋" w:hAnsi="仿宋" w:eastAsia="仿宋"/>
          <w:sz w:val="28"/>
          <w:szCs w:val="28"/>
        </w:rPr>
      </w:pPr>
      <w:bookmarkStart w:id="5" w:name="_Toc515961866"/>
      <w:r>
        <w:rPr>
          <w:rFonts w:hint="eastAsia" w:ascii="仿宋" w:hAnsi="仿宋" w:eastAsia="仿宋"/>
          <w:sz w:val="28"/>
          <w:szCs w:val="28"/>
        </w:rPr>
        <w:t>五、联系方式</w:t>
      </w:r>
      <w:bookmarkEnd w:id="5"/>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联</w:t>
      </w:r>
      <w:r>
        <w:rPr>
          <w:rFonts w:ascii="仿宋" w:hAnsi="仿宋" w:eastAsia="仿宋"/>
          <w:kern w:val="2"/>
          <w:sz w:val="28"/>
          <w:szCs w:val="28"/>
        </w:rPr>
        <w:t xml:space="preserve"> </w:t>
      </w:r>
      <w:r>
        <w:rPr>
          <w:rFonts w:hint="eastAsia" w:ascii="仿宋" w:hAnsi="仿宋" w:eastAsia="仿宋"/>
          <w:kern w:val="2"/>
          <w:sz w:val="28"/>
          <w:szCs w:val="28"/>
        </w:rPr>
        <w:t>系</w:t>
      </w:r>
      <w:r>
        <w:rPr>
          <w:rFonts w:ascii="仿宋" w:hAnsi="仿宋" w:eastAsia="仿宋"/>
          <w:kern w:val="2"/>
          <w:sz w:val="28"/>
          <w:szCs w:val="28"/>
        </w:rPr>
        <w:t xml:space="preserve"> </w:t>
      </w:r>
      <w:r>
        <w:rPr>
          <w:rFonts w:hint="eastAsia" w:ascii="仿宋" w:hAnsi="仿宋" w:eastAsia="仿宋"/>
          <w:kern w:val="2"/>
          <w:sz w:val="28"/>
          <w:szCs w:val="28"/>
        </w:rPr>
        <w:t>人：何国栋</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联系电话：</w:t>
      </w:r>
      <w:r>
        <w:rPr>
          <w:rFonts w:ascii="仿宋" w:hAnsi="仿宋" w:eastAsia="仿宋"/>
          <w:kern w:val="2"/>
          <w:sz w:val="28"/>
          <w:szCs w:val="28"/>
        </w:rPr>
        <w:t>0477-38558</w:t>
      </w:r>
      <w:r>
        <w:rPr>
          <w:rFonts w:hint="eastAsia" w:ascii="仿宋" w:hAnsi="仿宋" w:eastAsia="仿宋"/>
          <w:kern w:val="2"/>
          <w:sz w:val="28"/>
          <w:szCs w:val="28"/>
        </w:rPr>
        <w:t>18</w:t>
      </w:r>
      <w:r>
        <w:rPr>
          <w:rFonts w:ascii="仿宋" w:hAnsi="仿宋" w:eastAsia="仿宋"/>
          <w:kern w:val="2"/>
          <w:sz w:val="28"/>
          <w:szCs w:val="28"/>
        </w:rPr>
        <w:t xml:space="preserve"> </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地</w:t>
      </w:r>
      <w:r>
        <w:rPr>
          <w:rFonts w:ascii="仿宋" w:hAnsi="仿宋" w:eastAsia="仿宋"/>
          <w:sz w:val="28"/>
          <w:szCs w:val="28"/>
        </w:rPr>
        <w:t xml:space="preserve">    </w:t>
      </w:r>
      <w:r>
        <w:rPr>
          <w:rFonts w:hint="eastAsia" w:ascii="仿宋" w:hAnsi="仿宋" w:eastAsia="仿宋"/>
          <w:sz w:val="28"/>
          <w:szCs w:val="28"/>
        </w:rPr>
        <w:t>址：鄂尔多斯市伊金霍洛旗飞机场</w:t>
      </w: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pStyle w:val="2"/>
        <w:spacing w:line="360" w:lineRule="auto"/>
        <w:rPr>
          <w:rFonts w:ascii="仿宋" w:hAnsi="仿宋" w:eastAsia="仿宋"/>
        </w:rPr>
      </w:pPr>
      <w:bookmarkStart w:id="6" w:name="_Toc515961867"/>
      <w:r>
        <w:rPr>
          <w:rFonts w:hint="eastAsia" w:ascii="仿宋" w:hAnsi="仿宋" w:eastAsia="仿宋"/>
        </w:rPr>
        <w:t>第二章</w:t>
      </w:r>
      <w:r>
        <w:rPr>
          <w:rFonts w:ascii="仿宋" w:hAnsi="仿宋" w:eastAsia="仿宋"/>
        </w:rPr>
        <w:t xml:space="preserve"> </w:t>
      </w:r>
      <w:r>
        <w:rPr>
          <w:rFonts w:hint="eastAsia" w:ascii="仿宋" w:hAnsi="仿宋" w:eastAsia="仿宋"/>
        </w:rPr>
        <w:t>采购内容与技术要求</w:t>
      </w:r>
      <w:bookmarkEnd w:id="6"/>
    </w:p>
    <w:p>
      <w:pPr>
        <w:spacing w:line="360" w:lineRule="auto"/>
        <w:ind w:firstLine="562" w:firstLineChars="200"/>
        <w:jc w:val="left"/>
        <w:outlineLvl w:val="1"/>
        <w:rPr>
          <w:rFonts w:ascii="仿宋" w:hAnsi="仿宋" w:eastAsia="仿宋" w:cs="Cambria"/>
          <w:b/>
          <w:bCs/>
          <w:kern w:val="0"/>
          <w:sz w:val="28"/>
          <w:szCs w:val="32"/>
        </w:rPr>
      </w:pPr>
      <w:bookmarkStart w:id="7" w:name="_Toc515961868"/>
      <w:r>
        <w:rPr>
          <w:rFonts w:hint="eastAsia" w:ascii="仿宋" w:hAnsi="仿宋" w:eastAsia="仿宋" w:cs="Cambria"/>
          <w:b/>
          <w:bCs/>
          <w:kern w:val="0"/>
          <w:sz w:val="28"/>
          <w:szCs w:val="32"/>
        </w:rPr>
        <w:t>一、适用范围</w:t>
      </w:r>
      <w:bookmarkEnd w:id="7"/>
    </w:p>
    <w:p>
      <w:pPr>
        <w:spacing w:line="360" w:lineRule="auto"/>
        <w:ind w:firstLine="560" w:firstLineChars="200"/>
        <w:jc w:val="left"/>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本招标文件仅适用于本次招标公告中所涉及的项目和内容。</w:t>
      </w:r>
    </w:p>
    <w:p>
      <w:pPr>
        <w:spacing w:line="360" w:lineRule="auto"/>
        <w:ind w:firstLine="560" w:firstLineChars="200"/>
        <w:jc w:val="left"/>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本招标文件的解释权为采购人和采购代理机构。</w:t>
      </w:r>
    </w:p>
    <w:p>
      <w:pPr>
        <w:widowControl/>
        <w:spacing w:line="360" w:lineRule="auto"/>
        <w:ind w:firstLine="562" w:firstLineChars="200"/>
        <w:outlineLvl w:val="1"/>
        <w:rPr>
          <w:rFonts w:ascii="仿宋" w:hAnsi="仿宋" w:eastAsia="仿宋" w:cs="Cambria"/>
          <w:b/>
          <w:bCs/>
          <w:kern w:val="0"/>
          <w:sz w:val="28"/>
          <w:szCs w:val="32"/>
        </w:rPr>
      </w:pPr>
      <w:bookmarkStart w:id="8" w:name="_Toc515961869"/>
      <w:r>
        <w:rPr>
          <w:rFonts w:hint="eastAsia" w:ascii="仿宋" w:hAnsi="仿宋" w:eastAsia="仿宋" w:cs="Cambria"/>
          <w:b/>
          <w:bCs/>
          <w:kern w:val="0"/>
          <w:sz w:val="28"/>
          <w:szCs w:val="32"/>
        </w:rPr>
        <w:t>二、投标人投标报价须知</w:t>
      </w:r>
      <w:bookmarkEnd w:id="8"/>
    </w:p>
    <w:p>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1.投标人的投标报价内容包括但不限于：人</w:t>
      </w:r>
      <w:r>
        <w:rPr>
          <w:rFonts w:hint="eastAsia" w:ascii="仿宋" w:hAnsi="仿宋" w:eastAsia="仿宋" w:cs="仿宋"/>
          <w:kern w:val="0"/>
          <w:sz w:val="28"/>
          <w:szCs w:val="28"/>
        </w:rPr>
        <w:t>员薪酬（含服装费）、各类保险、体检费、福利费、节假日加班费、保洁工具及洗剂费等费用。不包含</w:t>
      </w:r>
      <w:r>
        <w:rPr>
          <w:rFonts w:hint="eastAsia" w:ascii="仿宋" w:hAnsi="仿宋" w:eastAsia="仿宋" w:cs="仿宋"/>
          <w:sz w:val="28"/>
          <w:szCs w:val="28"/>
        </w:rPr>
        <w:t>卫生间及办公室的卷纸、洗手液等消耗品以及外墙高位保洁</w:t>
      </w:r>
      <w:r>
        <w:rPr>
          <w:rFonts w:hint="eastAsia" w:ascii="仿宋" w:hAnsi="仿宋" w:eastAsia="仿宋"/>
          <w:sz w:val="28"/>
          <w:szCs w:val="28"/>
        </w:rPr>
        <w:t>。以上费用报价必须符合实际，否则作无效投标处理。</w:t>
      </w:r>
    </w:p>
    <w:p>
      <w:pPr>
        <w:pStyle w:val="3"/>
        <w:spacing w:line="360" w:lineRule="auto"/>
        <w:ind w:firstLine="562" w:firstLineChars="200"/>
        <w:rPr>
          <w:rFonts w:ascii="仿宋" w:hAnsi="仿宋" w:eastAsia="仿宋"/>
          <w:sz w:val="28"/>
        </w:rPr>
      </w:pPr>
      <w:bookmarkStart w:id="9" w:name="_Toc515961870"/>
      <w:bookmarkStart w:id="10" w:name="_Toc406421928"/>
      <w:r>
        <w:rPr>
          <w:rFonts w:hint="eastAsia" w:ascii="仿宋" w:hAnsi="仿宋" w:eastAsia="仿宋"/>
          <w:sz w:val="28"/>
        </w:rPr>
        <w:t>三、项目说明</w:t>
      </w:r>
      <w:bookmarkEnd w:id="9"/>
      <w:bookmarkEnd w:id="10"/>
    </w:p>
    <w:p>
      <w:pPr>
        <w:spacing w:line="360" w:lineRule="auto"/>
        <w:ind w:firstLine="560" w:firstLineChars="200"/>
        <w:rPr>
          <w:rFonts w:ascii="仿宋" w:hAnsi="仿宋" w:eastAsia="仿宋"/>
          <w:sz w:val="28"/>
          <w:szCs w:val="28"/>
        </w:rPr>
      </w:pPr>
      <w:r>
        <w:rPr>
          <w:rFonts w:hint="eastAsia" w:ascii="仿宋" w:hAnsi="仿宋" w:eastAsia="仿宋"/>
          <w:sz w:val="28"/>
          <w:szCs w:val="28"/>
        </w:rPr>
        <w:t>（一）项目基本情况</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康巴什物业服务项目需保洁、保安等10名劳务人员，人员数量及要求如下：</w:t>
      </w:r>
    </w:p>
    <w:tbl>
      <w:tblPr>
        <w:tblStyle w:val="16"/>
        <w:tblW w:w="10247" w:type="dxa"/>
        <w:tblInd w:w="-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7"/>
        <w:gridCol w:w="2256"/>
        <w:gridCol w:w="1992"/>
        <w:gridCol w:w="4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037" w:type="dxa"/>
            <w:tcBorders>
              <w:top w:val="single" w:color="auto" w:sz="4" w:space="0"/>
              <w:left w:val="single" w:color="auto" w:sz="4" w:space="0"/>
              <w:bottom w:val="single" w:color="auto" w:sz="4" w:space="0"/>
              <w:right w:val="single" w:color="auto" w:sz="4" w:space="0"/>
              <w:tl2br w:val="nil"/>
              <w:tr2bl w:val="nil"/>
            </w:tcBorders>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序号</w:t>
            </w:r>
          </w:p>
        </w:tc>
        <w:tc>
          <w:tcPr>
            <w:tcW w:w="2256" w:type="dxa"/>
            <w:tcBorders>
              <w:top w:val="single" w:color="auto" w:sz="4" w:space="0"/>
              <w:left w:val="single" w:color="auto" w:sz="4" w:space="0"/>
              <w:bottom w:val="single" w:color="auto" w:sz="4" w:space="0"/>
              <w:right w:val="single" w:color="auto" w:sz="4" w:space="0"/>
              <w:tl2br w:val="nil"/>
              <w:tr2bl w:val="nil"/>
            </w:tcBorders>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职位</w:t>
            </w:r>
          </w:p>
        </w:tc>
        <w:tc>
          <w:tcPr>
            <w:tcW w:w="1992" w:type="dxa"/>
            <w:tcBorders>
              <w:top w:val="single" w:color="auto" w:sz="4" w:space="0"/>
              <w:left w:val="single" w:color="auto" w:sz="4" w:space="0"/>
              <w:bottom w:val="single" w:color="auto" w:sz="4" w:space="0"/>
              <w:right w:val="single" w:color="auto" w:sz="4" w:space="0"/>
              <w:tl2br w:val="nil"/>
              <w:tr2bl w:val="nil"/>
            </w:tcBorders>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人数</w:t>
            </w:r>
          </w:p>
        </w:tc>
        <w:tc>
          <w:tcPr>
            <w:tcW w:w="4962" w:type="dxa"/>
            <w:tcBorders>
              <w:top w:val="single" w:color="auto" w:sz="4" w:space="0"/>
              <w:left w:val="single" w:color="auto" w:sz="4" w:space="0"/>
              <w:bottom w:val="single" w:color="auto" w:sz="4" w:space="0"/>
              <w:right w:val="single" w:color="auto" w:sz="4" w:space="0"/>
              <w:tl2br w:val="nil"/>
              <w:tr2bl w:val="nil"/>
            </w:tcBorders>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037"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1</w:t>
            </w:r>
          </w:p>
        </w:tc>
        <w:tc>
          <w:tcPr>
            <w:tcW w:w="2256"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560"/>
              <w:rPr>
                <w:rFonts w:ascii="仿宋" w:hAnsi="仿宋" w:eastAsia="仿宋" w:cs="仿宋"/>
                <w:sz w:val="28"/>
                <w:szCs w:val="28"/>
              </w:rPr>
            </w:pPr>
            <w:r>
              <w:rPr>
                <w:rFonts w:hint="eastAsia" w:ascii="仿宋" w:hAnsi="仿宋" w:eastAsia="仿宋" w:cs="仿宋"/>
                <w:sz w:val="28"/>
                <w:szCs w:val="28"/>
              </w:rPr>
              <w:t>保安</w:t>
            </w:r>
          </w:p>
        </w:tc>
        <w:tc>
          <w:tcPr>
            <w:tcW w:w="1992"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4</w:t>
            </w:r>
          </w:p>
        </w:tc>
        <w:tc>
          <w:tcPr>
            <w:tcW w:w="4962"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rPr>
                <w:rFonts w:ascii="仿宋" w:hAnsi="仿宋" w:eastAsia="仿宋" w:cs="仿宋"/>
                <w:sz w:val="28"/>
                <w:szCs w:val="28"/>
              </w:rPr>
            </w:pPr>
            <w:r>
              <w:rPr>
                <w:rFonts w:hint="eastAsia" w:ascii="仿宋" w:hAnsi="仿宋" w:eastAsia="仿宋" w:cs="仿宋"/>
                <w:sz w:val="28"/>
                <w:szCs w:val="28"/>
              </w:rPr>
              <w:t>20-45岁，高中（含）以上学历，持有保安证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1037"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2</w:t>
            </w:r>
          </w:p>
        </w:tc>
        <w:tc>
          <w:tcPr>
            <w:tcW w:w="2256"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560"/>
              <w:rPr>
                <w:rFonts w:ascii="仿宋" w:hAnsi="仿宋" w:eastAsia="仿宋" w:cs="仿宋"/>
                <w:sz w:val="28"/>
                <w:szCs w:val="28"/>
              </w:rPr>
            </w:pPr>
            <w:r>
              <w:rPr>
                <w:rFonts w:hint="eastAsia" w:ascii="仿宋" w:hAnsi="仿宋" w:eastAsia="仿宋" w:cs="仿宋"/>
                <w:sz w:val="28"/>
                <w:szCs w:val="28"/>
              </w:rPr>
              <w:t>保洁</w:t>
            </w:r>
          </w:p>
        </w:tc>
        <w:tc>
          <w:tcPr>
            <w:tcW w:w="1992"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4</w:t>
            </w:r>
          </w:p>
        </w:tc>
        <w:tc>
          <w:tcPr>
            <w:tcW w:w="4962"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rPr>
                <w:rFonts w:ascii="仿宋" w:hAnsi="仿宋" w:eastAsia="仿宋" w:cs="仿宋"/>
                <w:sz w:val="28"/>
                <w:szCs w:val="28"/>
              </w:rPr>
            </w:pPr>
            <w:r>
              <w:rPr>
                <w:rFonts w:hint="eastAsia" w:ascii="仿宋" w:hAnsi="仿宋" w:eastAsia="仿宋" w:cs="仿宋"/>
                <w:kern w:val="0"/>
                <w:sz w:val="28"/>
                <w:szCs w:val="28"/>
              </w:rPr>
              <w:t>年龄50以下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1037"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3</w:t>
            </w:r>
          </w:p>
        </w:tc>
        <w:tc>
          <w:tcPr>
            <w:tcW w:w="2256"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560"/>
              <w:rPr>
                <w:rFonts w:ascii="仿宋" w:hAnsi="仿宋" w:eastAsia="仿宋" w:cs="仿宋"/>
                <w:sz w:val="28"/>
                <w:szCs w:val="28"/>
              </w:rPr>
            </w:pPr>
            <w:r>
              <w:rPr>
                <w:rFonts w:hint="eastAsia" w:ascii="仿宋" w:hAnsi="仿宋" w:eastAsia="仿宋" w:cs="仿宋"/>
                <w:sz w:val="28"/>
                <w:szCs w:val="28"/>
              </w:rPr>
              <w:t>宿管</w:t>
            </w:r>
          </w:p>
        </w:tc>
        <w:tc>
          <w:tcPr>
            <w:tcW w:w="1992"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2</w:t>
            </w:r>
          </w:p>
        </w:tc>
        <w:tc>
          <w:tcPr>
            <w:tcW w:w="4962"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rPr>
                <w:rFonts w:ascii="仿宋" w:hAnsi="仿宋" w:eastAsia="仿宋" w:cs="仿宋"/>
                <w:sz w:val="28"/>
                <w:szCs w:val="28"/>
              </w:rPr>
            </w:pPr>
            <w:r>
              <w:rPr>
                <w:rFonts w:hint="eastAsia" w:ascii="仿宋" w:hAnsi="仿宋" w:eastAsia="仿宋" w:cs="仿宋"/>
                <w:kern w:val="0"/>
                <w:sz w:val="28"/>
                <w:szCs w:val="28"/>
              </w:rPr>
              <w:t>年龄50以下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3293"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560"/>
              <w:jc w:val="center"/>
              <w:rPr>
                <w:rFonts w:ascii="仿宋" w:hAnsi="仿宋" w:eastAsia="仿宋" w:cs="仿宋"/>
                <w:sz w:val="28"/>
                <w:szCs w:val="28"/>
              </w:rPr>
            </w:pPr>
            <w:r>
              <w:rPr>
                <w:rFonts w:hint="eastAsia" w:ascii="仿宋" w:hAnsi="仿宋" w:eastAsia="仿宋" w:cs="仿宋"/>
                <w:sz w:val="28"/>
                <w:szCs w:val="28"/>
              </w:rPr>
              <w:t>合计</w:t>
            </w:r>
          </w:p>
        </w:tc>
        <w:tc>
          <w:tcPr>
            <w:tcW w:w="6954"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560"/>
              <w:jc w:val="center"/>
              <w:rPr>
                <w:rFonts w:ascii="仿宋" w:hAnsi="仿宋" w:eastAsia="仿宋" w:cs="仿宋"/>
                <w:sz w:val="28"/>
                <w:szCs w:val="28"/>
              </w:rPr>
            </w:pPr>
            <w:r>
              <w:rPr>
                <w:rFonts w:hint="eastAsia" w:ascii="仿宋" w:hAnsi="仿宋" w:eastAsia="仿宋" w:cs="仿宋"/>
                <w:sz w:val="28"/>
                <w:szCs w:val="28"/>
              </w:rPr>
              <w:t>10</w:t>
            </w:r>
          </w:p>
        </w:tc>
      </w:tr>
    </w:tbl>
    <w:p>
      <w:pPr>
        <w:spacing w:line="360" w:lineRule="auto"/>
        <w:ind w:firstLine="560" w:firstLineChars="200"/>
        <w:rPr>
          <w:rFonts w:ascii="仿宋" w:hAnsi="仿宋" w:eastAsia="仿宋" w:cs="仿宋"/>
          <w:sz w:val="28"/>
          <w:szCs w:val="28"/>
        </w:rPr>
      </w:pPr>
      <w:r>
        <w:rPr>
          <w:rFonts w:hint="eastAsia" w:ascii="仿宋" w:hAnsi="仿宋" w:eastAsia="仿宋"/>
          <w:sz w:val="28"/>
          <w:szCs w:val="28"/>
        </w:rPr>
        <w:t>（二）付款方式：</w:t>
      </w:r>
      <w:r>
        <w:rPr>
          <w:rFonts w:hint="eastAsia" w:ascii="仿宋" w:hAnsi="仿宋" w:eastAsia="仿宋" w:cs="仿宋"/>
          <w:sz w:val="28"/>
          <w:szCs w:val="28"/>
        </w:rPr>
        <w:t>投标方与招标方签订合同后，须向招标方提供营业执照、开户许可证等相关复印证件及增值税专用发票，招标方按月结算上月劳务费（含税费）</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（三）人员要求及工作职责如下：</w:t>
      </w:r>
    </w:p>
    <w:p>
      <w:pPr>
        <w:adjustRightInd w:val="0"/>
        <w:snapToGrid w:val="0"/>
        <w:spacing w:line="360" w:lineRule="auto"/>
        <w:ind w:firstLine="562" w:firstLineChars="200"/>
        <w:rPr>
          <w:rFonts w:ascii="仿宋" w:hAnsi="仿宋" w:eastAsia="仿宋" w:cs="仿宋"/>
          <w:b/>
          <w:kern w:val="0"/>
          <w:sz w:val="28"/>
          <w:szCs w:val="28"/>
        </w:rPr>
      </w:pPr>
      <w:r>
        <w:rPr>
          <w:rFonts w:hint="eastAsia" w:ascii="仿宋" w:hAnsi="仿宋" w:eastAsia="仿宋" w:cs="仿宋"/>
          <w:b/>
          <w:kern w:val="0"/>
          <w:sz w:val="28"/>
          <w:szCs w:val="28"/>
        </w:rPr>
        <w:t>1.保洁</w:t>
      </w:r>
    </w:p>
    <w:p>
      <w:pPr>
        <w:ind w:firstLine="560" w:firstLineChars="200"/>
        <w:rPr>
          <w:rFonts w:ascii="仿宋" w:hAnsi="仿宋" w:eastAsia="仿宋" w:cs="仿宋"/>
          <w:kern w:val="0"/>
          <w:sz w:val="28"/>
          <w:szCs w:val="28"/>
        </w:rPr>
      </w:pPr>
      <w:r>
        <w:rPr>
          <w:rFonts w:hint="eastAsia" w:ascii="仿宋" w:hAnsi="仿宋" w:eastAsia="仿宋" w:cs="仿宋"/>
          <w:kern w:val="0"/>
          <w:sz w:val="28"/>
          <w:szCs w:val="28"/>
        </w:rPr>
        <w:t>1.1楼宇内公共区域、卫生间、房门、大厅玻璃门、窗台、窗槽、地角线、楼梯道、楼梯扶手、垃圾桶、标识牌等的保洁与清洁，其他例如活动室、图书馆、会议室等（除餐厅外的大型教室）根据招标方要求提供清洁；</w:t>
      </w:r>
    </w:p>
    <w:p>
      <w:pPr>
        <w:ind w:firstLine="560" w:firstLineChars="200"/>
        <w:rPr>
          <w:rFonts w:ascii="仿宋" w:hAnsi="仿宋" w:eastAsia="仿宋" w:cs="仿宋"/>
          <w:kern w:val="0"/>
          <w:sz w:val="28"/>
          <w:szCs w:val="28"/>
        </w:rPr>
      </w:pPr>
      <w:r>
        <w:rPr>
          <w:rFonts w:hint="eastAsia" w:ascii="仿宋" w:hAnsi="仿宋" w:eastAsia="仿宋" w:cs="仿宋"/>
          <w:kern w:val="0"/>
          <w:sz w:val="28"/>
          <w:szCs w:val="28"/>
        </w:rPr>
        <w:t>1.2负责校园内外围的卫生保洁与清洁；</w:t>
      </w:r>
    </w:p>
    <w:p>
      <w:pPr>
        <w:ind w:firstLine="560" w:firstLineChars="200"/>
        <w:rPr>
          <w:rFonts w:ascii="仿宋" w:hAnsi="仿宋" w:eastAsia="仿宋" w:cs="仿宋"/>
          <w:kern w:val="0"/>
          <w:sz w:val="28"/>
          <w:szCs w:val="28"/>
        </w:rPr>
      </w:pPr>
      <w:r>
        <w:rPr>
          <w:rFonts w:hint="eastAsia" w:ascii="仿宋" w:hAnsi="仿宋" w:eastAsia="仿宋" w:cs="仿宋"/>
          <w:kern w:val="0"/>
          <w:sz w:val="28"/>
          <w:szCs w:val="28"/>
        </w:rPr>
        <w:t>1.3负责对楼内外绿植进行养护；</w:t>
      </w:r>
    </w:p>
    <w:p>
      <w:pPr>
        <w:ind w:firstLine="560" w:firstLineChars="200"/>
        <w:rPr>
          <w:rFonts w:ascii="仿宋" w:hAnsi="仿宋" w:eastAsia="仿宋" w:cs="仿宋"/>
          <w:kern w:val="0"/>
          <w:sz w:val="28"/>
          <w:szCs w:val="28"/>
        </w:rPr>
      </w:pPr>
      <w:r>
        <w:rPr>
          <w:rFonts w:hint="eastAsia" w:ascii="仿宋" w:hAnsi="仿宋" w:eastAsia="仿宋" w:cs="仿宋"/>
          <w:kern w:val="0"/>
          <w:sz w:val="28"/>
          <w:szCs w:val="28"/>
        </w:rPr>
        <w:t>1.4清洁工作质量监督并记录，发现问题及时处理；</w:t>
      </w:r>
    </w:p>
    <w:p>
      <w:pPr>
        <w:ind w:firstLine="560" w:firstLineChars="200"/>
        <w:rPr>
          <w:rFonts w:ascii="仿宋" w:hAnsi="仿宋" w:eastAsia="仿宋" w:cs="仿宋"/>
          <w:kern w:val="0"/>
          <w:sz w:val="28"/>
          <w:szCs w:val="28"/>
        </w:rPr>
      </w:pPr>
      <w:r>
        <w:rPr>
          <w:rFonts w:hint="eastAsia" w:ascii="仿宋" w:hAnsi="仿宋" w:eastAsia="仿宋" w:cs="仿宋"/>
          <w:kern w:val="0"/>
          <w:sz w:val="28"/>
          <w:szCs w:val="28"/>
        </w:rPr>
        <w:t>1.5垃圾分类收集，垃圾清运需由招标方统一安排；</w:t>
      </w:r>
    </w:p>
    <w:p>
      <w:pPr>
        <w:pStyle w:val="12"/>
        <w:widowControl/>
        <w:shd w:val="clear" w:color="auto" w:fill="FFFFFF"/>
        <w:spacing w:beforeAutospacing="0" w:afterAutospacing="0" w:line="420" w:lineRule="atLeast"/>
        <w:ind w:firstLine="562" w:firstLineChars="200"/>
        <w:rPr>
          <w:rFonts w:ascii="仿宋" w:hAnsi="仿宋" w:eastAsia="仿宋" w:cs="仿宋"/>
          <w:b/>
          <w:sz w:val="28"/>
          <w:szCs w:val="28"/>
        </w:rPr>
      </w:pPr>
      <w:r>
        <w:rPr>
          <w:rFonts w:hint="eastAsia" w:ascii="仿宋" w:hAnsi="仿宋" w:eastAsia="仿宋" w:cs="仿宋"/>
          <w:b/>
          <w:sz w:val="28"/>
          <w:szCs w:val="28"/>
        </w:rPr>
        <w:t>2.秩序（保安）</w:t>
      </w:r>
    </w:p>
    <w:p>
      <w:pPr>
        <w:pStyle w:val="12"/>
        <w:widowControl/>
        <w:shd w:val="clear" w:color="auto" w:fill="FFFFFF"/>
        <w:spacing w:beforeAutospacing="0" w:afterAutospacing="0" w:line="420" w:lineRule="atLeast"/>
        <w:ind w:firstLine="560" w:firstLineChars="200"/>
        <w:rPr>
          <w:rFonts w:ascii="仿宋" w:hAnsi="仿宋" w:eastAsia="仿宋" w:cs="仿宋"/>
          <w:sz w:val="28"/>
          <w:szCs w:val="28"/>
        </w:rPr>
      </w:pPr>
      <w:r>
        <w:rPr>
          <w:rFonts w:hint="eastAsia" w:ascii="仿宋" w:hAnsi="仿宋" w:eastAsia="仿宋" w:cs="仿宋"/>
          <w:sz w:val="28"/>
          <w:szCs w:val="28"/>
        </w:rPr>
        <w:t>2.1门卫服务：保安员按照服务合同要求对招标方单位出入口进行值守、验证、检查登记的服务业务。</w:t>
      </w:r>
    </w:p>
    <w:p>
      <w:pPr>
        <w:pStyle w:val="12"/>
        <w:widowControl/>
        <w:shd w:val="clear" w:color="auto" w:fill="FFFFFF"/>
        <w:spacing w:beforeAutospacing="0" w:afterAutospacing="0" w:line="420" w:lineRule="atLeast"/>
        <w:ind w:firstLine="560" w:firstLineChars="200"/>
        <w:rPr>
          <w:rFonts w:ascii="仿宋" w:hAnsi="仿宋" w:eastAsia="仿宋" w:cs="仿宋"/>
          <w:sz w:val="28"/>
          <w:szCs w:val="28"/>
        </w:rPr>
      </w:pPr>
      <w:r>
        <w:rPr>
          <w:rFonts w:hint="eastAsia" w:ascii="仿宋" w:hAnsi="仿宋" w:eastAsia="仿宋" w:cs="仿宋"/>
          <w:sz w:val="28"/>
          <w:szCs w:val="28"/>
        </w:rPr>
        <w:t>2.2守护服务：保安员对特定目标进行看护和守卫的服务业务。</w:t>
      </w:r>
    </w:p>
    <w:p>
      <w:pPr>
        <w:pStyle w:val="12"/>
        <w:widowControl/>
        <w:shd w:val="clear" w:color="auto" w:fill="FFFFFF"/>
        <w:spacing w:beforeAutospacing="0" w:afterAutospacing="0" w:line="420" w:lineRule="atLeast"/>
        <w:ind w:firstLine="560" w:firstLineChars="200"/>
        <w:rPr>
          <w:rFonts w:ascii="仿宋" w:hAnsi="仿宋" w:eastAsia="仿宋" w:cs="仿宋"/>
          <w:sz w:val="28"/>
          <w:szCs w:val="28"/>
        </w:rPr>
      </w:pPr>
      <w:r>
        <w:rPr>
          <w:rFonts w:hint="eastAsia" w:ascii="仿宋" w:hAnsi="仿宋" w:eastAsia="仿宋" w:cs="仿宋"/>
          <w:sz w:val="28"/>
          <w:szCs w:val="28"/>
        </w:rPr>
        <w:t>2.3巡逻服务：保安员对特定区域、地段和目标进行巡视检查、警戒的服务业务。</w:t>
      </w:r>
    </w:p>
    <w:p>
      <w:pPr>
        <w:pStyle w:val="12"/>
        <w:widowControl/>
        <w:shd w:val="clear" w:color="auto" w:fill="FFFFFF"/>
        <w:spacing w:beforeAutospacing="0" w:afterAutospacing="0" w:line="420" w:lineRule="atLeast"/>
        <w:ind w:firstLine="560" w:firstLineChars="200"/>
        <w:rPr>
          <w:rFonts w:ascii="仿宋" w:hAnsi="仿宋" w:eastAsia="仿宋" w:cs="仿宋"/>
          <w:sz w:val="28"/>
          <w:szCs w:val="28"/>
        </w:rPr>
      </w:pPr>
      <w:r>
        <w:rPr>
          <w:rFonts w:hint="eastAsia" w:ascii="仿宋" w:hAnsi="仿宋" w:eastAsia="仿宋" w:cs="仿宋"/>
          <w:sz w:val="28"/>
          <w:szCs w:val="28"/>
        </w:rPr>
        <w:t>2.4熟练掌握学校的基本情况、楼宇结构，做好通道、机房、配电房等重点位置的防范、防盗工作。</w:t>
      </w:r>
    </w:p>
    <w:p>
      <w:pPr>
        <w:pStyle w:val="12"/>
        <w:widowControl/>
        <w:shd w:val="clear" w:color="auto" w:fill="FFFFFF"/>
        <w:spacing w:beforeAutospacing="0" w:afterAutospacing="0" w:line="420" w:lineRule="atLeast"/>
        <w:ind w:firstLine="560" w:firstLineChars="200"/>
        <w:rPr>
          <w:rFonts w:ascii="仿宋" w:hAnsi="仿宋" w:eastAsia="仿宋" w:cs="仿宋"/>
          <w:sz w:val="28"/>
          <w:szCs w:val="28"/>
        </w:rPr>
      </w:pPr>
      <w:r>
        <w:rPr>
          <w:rFonts w:hint="eastAsia" w:ascii="仿宋" w:hAnsi="仿宋" w:eastAsia="仿宋" w:cs="仿宋"/>
          <w:sz w:val="28"/>
          <w:szCs w:val="28"/>
        </w:rPr>
        <w:t>2.5 24小时值班制，按规定频次巡逻，并做好巡查记录和交接记录。</w:t>
      </w:r>
    </w:p>
    <w:p>
      <w:pPr>
        <w:pStyle w:val="12"/>
        <w:widowControl/>
        <w:shd w:val="clear" w:color="auto" w:fill="FFFFFF"/>
        <w:spacing w:beforeAutospacing="0" w:afterAutospacing="0" w:line="420" w:lineRule="atLeast"/>
        <w:ind w:firstLine="560" w:firstLineChars="200"/>
        <w:rPr>
          <w:rFonts w:ascii="仿宋" w:hAnsi="仿宋" w:eastAsia="仿宋" w:cs="仿宋"/>
          <w:sz w:val="28"/>
          <w:szCs w:val="28"/>
        </w:rPr>
      </w:pPr>
      <w:r>
        <w:rPr>
          <w:rFonts w:hint="eastAsia" w:ascii="仿宋" w:hAnsi="仿宋" w:eastAsia="仿宋" w:cs="仿宋"/>
          <w:sz w:val="28"/>
          <w:szCs w:val="28"/>
        </w:rPr>
        <w:t>2.6 熟练掌握停车位置的基本情况，对车辆进行引导，避免乱停放；上下学高锋期时段，疏导车辆，避免造成交通堵塞。</w:t>
      </w:r>
    </w:p>
    <w:p>
      <w:pPr>
        <w:pStyle w:val="12"/>
        <w:widowControl/>
        <w:shd w:val="clear" w:color="auto" w:fill="FFFFFF"/>
        <w:spacing w:beforeAutospacing="0" w:afterAutospacing="0" w:line="420" w:lineRule="atLeast"/>
        <w:ind w:firstLine="560" w:firstLineChars="200"/>
        <w:rPr>
          <w:rFonts w:ascii="仿宋" w:hAnsi="仿宋" w:eastAsia="仿宋" w:cs="仿宋"/>
          <w:sz w:val="28"/>
          <w:szCs w:val="28"/>
        </w:rPr>
      </w:pPr>
      <w:r>
        <w:rPr>
          <w:rFonts w:hint="eastAsia" w:ascii="仿宋" w:hAnsi="仿宋" w:eastAsia="仿宋" w:cs="仿宋"/>
          <w:sz w:val="28"/>
          <w:szCs w:val="28"/>
        </w:rPr>
        <w:t>2.7 进出人员、车辆管理：对进出公司的外来人员和车辆须经同意后才可放行进入，并做好相关检查和登记。</w:t>
      </w:r>
    </w:p>
    <w:p>
      <w:pPr>
        <w:pStyle w:val="12"/>
        <w:widowControl/>
        <w:shd w:val="clear" w:color="auto" w:fill="FFFFFF"/>
        <w:spacing w:beforeAutospacing="0" w:afterAutospacing="0" w:line="420" w:lineRule="atLeast"/>
        <w:ind w:firstLine="560" w:firstLineChars="200"/>
        <w:rPr>
          <w:rFonts w:ascii="仿宋" w:hAnsi="仿宋" w:eastAsia="仿宋" w:cs="仿宋"/>
          <w:sz w:val="28"/>
          <w:szCs w:val="28"/>
        </w:rPr>
      </w:pPr>
      <w:r>
        <w:rPr>
          <w:rFonts w:hint="eastAsia" w:ascii="仿宋" w:hAnsi="仿宋" w:eastAsia="仿宋" w:cs="仿宋"/>
          <w:sz w:val="28"/>
          <w:szCs w:val="28"/>
        </w:rPr>
        <w:t>2.8 处理各种安全应急突发事件，及时发现各类事故隐患。</w:t>
      </w:r>
    </w:p>
    <w:p>
      <w:pPr>
        <w:pStyle w:val="12"/>
        <w:widowControl/>
        <w:shd w:val="clear" w:color="auto" w:fill="FFFFFF"/>
        <w:spacing w:beforeAutospacing="0" w:afterAutospacing="0" w:line="420" w:lineRule="atLeast"/>
        <w:ind w:firstLine="560" w:firstLineChars="200"/>
        <w:rPr>
          <w:rFonts w:ascii="仿宋" w:hAnsi="仿宋" w:eastAsia="仿宋" w:cs="仿宋"/>
          <w:sz w:val="28"/>
          <w:szCs w:val="28"/>
        </w:rPr>
      </w:pPr>
      <w:r>
        <w:rPr>
          <w:rFonts w:hint="eastAsia" w:ascii="仿宋" w:hAnsi="仿宋" w:eastAsia="仿宋" w:cs="仿宋"/>
          <w:sz w:val="28"/>
          <w:szCs w:val="28"/>
        </w:rPr>
        <w:t>2.9 保安人员要求：20-45岁，高中（含）以上学历，持有保安证。</w:t>
      </w:r>
    </w:p>
    <w:p>
      <w:pPr>
        <w:pStyle w:val="12"/>
        <w:widowControl/>
        <w:shd w:val="clear" w:color="auto" w:fill="FFFFFF"/>
        <w:spacing w:beforeAutospacing="0" w:afterAutospacing="0" w:line="420" w:lineRule="atLeast"/>
        <w:ind w:firstLine="560" w:firstLineChars="200"/>
        <w:rPr>
          <w:rFonts w:ascii="仿宋" w:hAnsi="仿宋" w:eastAsia="仿宋" w:cs="仿宋"/>
          <w:sz w:val="28"/>
          <w:szCs w:val="28"/>
        </w:rPr>
      </w:pPr>
      <w:r>
        <w:rPr>
          <w:rFonts w:hint="eastAsia" w:ascii="仿宋" w:hAnsi="仿宋" w:eastAsia="仿宋" w:cs="仿宋"/>
          <w:sz w:val="28"/>
          <w:szCs w:val="28"/>
        </w:rPr>
        <w:t>2.10完成招标方交办的其他工作，例如零星维修等（由招标方提供备品备件）。</w:t>
      </w:r>
    </w:p>
    <w:p>
      <w:pPr>
        <w:pStyle w:val="12"/>
        <w:widowControl/>
        <w:shd w:val="clear" w:color="auto" w:fill="FFFFFF"/>
        <w:spacing w:beforeAutospacing="0" w:afterAutospacing="0" w:line="420" w:lineRule="atLeast"/>
        <w:ind w:left="562"/>
        <w:rPr>
          <w:rFonts w:ascii="仿宋" w:hAnsi="仿宋" w:eastAsia="仿宋" w:cs="仿宋"/>
          <w:b/>
          <w:sz w:val="28"/>
          <w:szCs w:val="28"/>
        </w:rPr>
      </w:pPr>
      <w:r>
        <w:rPr>
          <w:rFonts w:hint="eastAsia" w:ascii="仿宋" w:hAnsi="仿宋" w:eastAsia="仿宋" w:cs="仿宋"/>
          <w:b/>
          <w:sz w:val="28"/>
          <w:szCs w:val="28"/>
        </w:rPr>
        <w:t>3.宿管</w:t>
      </w:r>
    </w:p>
    <w:p>
      <w:pPr>
        <w:pStyle w:val="12"/>
        <w:widowControl/>
        <w:shd w:val="clear" w:color="auto" w:fill="FFFFFF"/>
        <w:spacing w:beforeAutospacing="0" w:afterAutospacing="0" w:line="420" w:lineRule="atLeast"/>
        <w:ind w:firstLine="560" w:firstLineChars="200"/>
        <w:rPr>
          <w:rFonts w:ascii="仿宋" w:hAnsi="仿宋" w:eastAsia="仿宋" w:cs="仿宋"/>
          <w:sz w:val="28"/>
          <w:szCs w:val="28"/>
        </w:rPr>
      </w:pPr>
      <w:r>
        <w:rPr>
          <w:rFonts w:hint="eastAsia" w:ascii="仿宋" w:hAnsi="仿宋" w:eastAsia="仿宋" w:cs="仿宋"/>
          <w:sz w:val="28"/>
          <w:szCs w:val="28"/>
        </w:rPr>
        <w:t>3.1提供宿舍楼公共区域以及房间的卫生清洁；</w:t>
      </w:r>
    </w:p>
    <w:p>
      <w:pPr>
        <w:pStyle w:val="12"/>
        <w:widowControl/>
        <w:shd w:val="clear" w:color="auto" w:fill="FFFFFF"/>
        <w:spacing w:beforeAutospacing="0" w:afterAutospacing="0" w:line="420" w:lineRule="atLeast"/>
        <w:ind w:firstLine="560" w:firstLineChars="200"/>
        <w:rPr>
          <w:rFonts w:ascii="仿宋" w:hAnsi="仿宋" w:eastAsia="仿宋" w:cs="仿宋"/>
          <w:color w:val="000000"/>
          <w:sz w:val="28"/>
          <w:szCs w:val="28"/>
        </w:rPr>
      </w:pPr>
      <w:r>
        <w:rPr>
          <w:rFonts w:hint="eastAsia" w:ascii="仿宋" w:hAnsi="仿宋" w:eastAsia="仿宋" w:cs="仿宋"/>
          <w:sz w:val="28"/>
          <w:szCs w:val="28"/>
        </w:rPr>
        <w:t>3.2协助招标方完成其他临时性工作。</w:t>
      </w:r>
      <w:r>
        <w:rPr>
          <w:rFonts w:hint="eastAsia" w:ascii="仿宋" w:hAnsi="仿宋" w:eastAsia="仿宋" w:cs="仿宋"/>
          <w:color w:val="000000"/>
          <w:sz w:val="28"/>
          <w:szCs w:val="28"/>
        </w:rPr>
        <w:t xml:space="preserve">   </w:t>
      </w:r>
    </w:p>
    <w:p>
      <w:pPr>
        <w:pStyle w:val="12"/>
        <w:widowControl/>
        <w:shd w:val="clear" w:color="auto" w:fill="FFFFFF"/>
        <w:spacing w:beforeAutospacing="0" w:afterAutospacing="0" w:line="420" w:lineRule="atLeast"/>
        <w:ind w:firstLine="482" w:firstLineChars="200"/>
        <w:rPr>
          <w:rFonts w:ascii="宋体" w:hAnsi="宋体" w:eastAsia="宋体" w:cs="宋体"/>
          <w:b/>
          <w:bCs/>
          <w:color w:val="444444"/>
          <w:szCs w:val="24"/>
          <w:shd w:val="clear" w:color="auto" w:fill="FFFFFF"/>
        </w:rPr>
      </w:pPr>
      <w:r>
        <w:rPr>
          <w:rFonts w:hint="eastAsia" w:ascii="宋体" w:hAnsi="宋体" w:eastAsia="宋体" w:cs="宋体"/>
          <w:b/>
          <w:bCs/>
          <w:color w:val="444444"/>
          <w:szCs w:val="24"/>
          <w:shd w:val="clear" w:color="auto" w:fill="FFFFFF"/>
        </w:rPr>
        <w:t>备注：1、以上服务人员招标方免费提供住宿，就餐免费提供一顿午餐；</w:t>
      </w:r>
    </w:p>
    <w:p>
      <w:pPr>
        <w:pStyle w:val="12"/>
        <w:widowControl/>
        <w:shd w:val="clear" w:color="auto" w:fill="FFFFFF"/>
        <w:spacing w:beforeAutospacing="0" w:afterAutospacing="0" w:line="420" w:lineRule="atLeast"/>
        <w:ind w:firstLine="482" w:firstLineChars="200"/>
        <w:rPr>
          <w:rFonts w:ascii="宋体" w:hAnsi="宋体" w:eastAsia="宋体" w:cs="宋体"/>
          <w:b/>
          <w:bCs/>
          <w:color w:val="444444"/>
          <w:szCs w:val="24"/>
          <w:shd w:val="clear" w:color="auto" w:fill="FFFFFF"/>
        </w:rPr>
      </w:pPr>
      <w:r>
        <w:rPr>
          <w:rFonts w:hint="eastAsia" w:ascii="宋体" w:hAnsi="宋体" w:eastAsia="宋体" w:cs="宋体"/>
          <w:b/>
          <w:bCs/>
          <w:color w:val="444444"/>
          <w:szCs w:val="24"/>
          <w:shd w:val="clear" w:color="auto" w:fill="FFFFFF"/>
        </w:rPr>
        <w:t xml:space="preserve">      2、宿管每年寒暑假休假。</w:t>
      </w:r>
    </w:p>
    <w:p>
      <w:pPr>
        <w:pStyle w:val="12"/>
        <w:widowControl/>
        <w:shd w:val="clear" w:color="auto" w:fill="FFFFFF"/>
        <w:spacing w:beforeAutospacing="0" w:afterAutospacing="0" w:line="420" w:lineRule="atLeast"/>
        <w:ind w:firstLine="562" w:firstLineChars="200"/>
        <w:rPr>
          <w:rFonts w:ascii="仿宋" w:hAnsi="仿宋" w:eastAsia="仿宋"/>
          <w:b/>
          <w:bCs/>
          <w:sz w:val="28"/>
          <w:szCs w:val="32"/>
        </w:rPr>
      </w:pPr>
      <w:r>
        <w:rPr>
          <w:rFonts w:hint="eastAsia" w:ascii="仿宋" w:hAnsi="仿宋" w:eastAsia="仿宋"/>
          <w:b/>
          <w:bCs/>
          <w:sz w:val="28"/>
          <w:szCs w:val="32"/>
        </w:rPr>
        <w:t>四、服务标准</w:t>
      </w:r>
    </w:p>
    <w:tbl>
      <w:tblPr>
        <w:tblStyle w:val="16"/>
        <w:tblW w:w="8280" w:type="dxa"/>
        <w:jc w:val="center"/>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
      <w:tblGrid>
        <w:gridCol w:w="1333"/>
        <w:gridCol w:w="6947"/>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tcBorders>
              <w:bottom w:val="single" w:color="836967" w:sz="4" w:space="0"/>
              <w:right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r>
              <w:rPr>
                <w:rFonts w:ascii="仿宋" w:hAnsi="仿宋" w:eastAsia="仿宋"/>
                <w:color w:val="000000"/>
                <w:sz w:val="24"/>
                <w:szCs w:val="24"/>
              </w:rPr>
              <w:pict>
                <v:shape id="_x0000_s2057" o:spid="_x0000_s2057" o:spt="32" type="#_x0000_t32" style="position:absolute;left:0pt;margin-left:-1.35pt;margin-top:1.6pt;height:45.75pt;width:68.25pt;z-index:251659264;mso-width-relative:page;mso-height-relative:page;" o:connectortype="straight" filled="f" coordsize="21600,21600">
                  <v:path arrowok="t"/>
                  <v:fill on="f" focussize="0,0"/>
                  <v:stroke/>
                  <v:imagedata o:title=""/>
                  <o:lock v:ext="edit"/>
                </v:shape>
              </w:pict>
            </w:r>
            <w:r>
              <w:rPr>
                <w:rFonts w:hint="eastAsia" w:ascii="仿宋" w:hAnsi="仿宋" w:eastAsia="仿宋"/>
                <w:color w:val="000000"/>
                <w:sz w:val="24"/>
                <w:szCs w:val="24"/>
              </w:rPr>
              <w:t>　</w:t>
            </w:r>
            <w:r>
              <w:rPr>
                <w:rFonts w:hint="eastAsia" w:ascii="仿宋" w:hAnsi="仿宋" w:eastAsia="仿宋"/>
                <w:b/>
                <w:bCs/>
                <w:color w:val="000000"/>
                <w:sz w:val="24"/>
                <w:szCs w:val="24"/>
              </w:rPr>
              <w:t>项目分类</w:t>
            </w:r>
          </w:p>
        </w:tc>
        <w:tc>
          <w:tcPr>
            <w:tcW w:w="6947" w:type="dxa"/>
            <w:tcBorders>
              <w:left w:val="single" w:color="836967" w:sz="4" w:space="0"/>
              <w:bottom w:val="single" w:color="836967" w:sz="4" w:space="0"/>
            </w:tcBorders>
            <w:tcMar>
              <w:left w:w="10" w:type="dxa"/>
              <w:right w:w="10" w:type="dxa"/>
            </w:tcMar>
            <w:vAlign w:val="center"/>
          </w:tcPr>
          <w:p>
            <w:pPr>
              <w:pStyle w:val="12"/>
              <w:jc w:val="center"/>
            </w:pPr>
            <w:r>
              <w:rPr>
                <w:rFonts w:hint="eastAsia"/>
                <w:b/>
                <w:bCs/>
              </w:rPr>
              <w:t>服务标准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restart"/>
            <w:tcBorders>
              <w:top w:val="single" w:color="836967" w:sz="4" w:space="0"/>
              <w:right w:val="single" w:color="836967" w:sz="4" w:space="0"/>
            </w:tcBorders>
            <w:tcMar>
              <w:left w:w="10" w:type="dxa"/>
              <w:right w:w="10" w:type="dxa"/>
            </w:tcMar>
            <w:vAlign w:val="center"/>
          </w:tcPr>
          <w:p>
            <w:pPr>
              <w:tabs>
                <w:tab w:val="left" w:pos="425"/>
                <w:tab w:val="left" w:pos="540"/>
              </w:tabs>
              <w:spacing w:line="360" w:lineRule="auto"/>
              <w:jc w:val="center"/>
              <w:rPr>
                <w:rFonts w:ascii="仿宋" w:hAnsi="仿宋" w:eastAsia="仿宋"/>
                <w:color w:val="000000"/>
                <w:sz w:val="24"/>
                <w:szCs w:val="24"/>
              </w:rPr>
            </w:pPr>
            <w:r>
              <w:rPr>
                <w:rFonts w:hint="eastAsia" w:ascii="仿宋" w:hAnsi="仿宋" w:eastAsia="仿宋"/>
                <w:color w:val="000000"/>
                <w:sz w:val="24"/>
                <w:szCs w:val="24"/>
              </w:rPr>
              <w:t>楼宇内公共区域、卫生间、房门、大厅玻璃门、窗台、窗槽、地角线、楼梯道、楼梯扶手、垃圾桶、标识牌等</w:t>
            </w:r>
          </w:p>
        </w:tc>
        <w:tc>
          <w:tcPr>
            <w:tcW w:w="6947" w:type="dxa"/>
            <w:tcBorders>
              <w:top w:val="single" w:color="836967" w:sz="4" w:space="0"/>
              <w:left w:val="single" w:color="836967"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公共区域（包括银行、报检厅）地面无垃圾、尘土、口香糖等污渍，地面干燥无水渍</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836967"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楼梯及扶手无尘土</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836967"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办公楼公共区域墙壁无污物，尘土和涂鸦（可去除的）</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836967"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垃圾桶摆放位置正确， 筒外无垃圾，筒内均有垃圾袋</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836967"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办公楼卫生间金属设施无水痕、手印及粘贴的口香糖、标签等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836967"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办公楼卫生间地面杜绝湿滑现象，马桶/小便池附近地面杜绝尿痕残留、粘脚的现象</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836967"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办公楼卫生间大小便池和洗手池应无浮垢、污垢、水垢和清洁剂残留物。溢留口和存水弯应无污物和尿酸结垢；水龙头把手干净、无污物；衣镜光洁无污痕。墙壁、天花板及通风口无污痕。卫生间始终保持空气清新</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836967"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公共区域清扫保洁时设置提示标识，地面保洁时设置防滑标识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836967"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卫生间内应无蚊蝇、无乱堆物品、无暴露的保洁工具和废纸</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836967"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在每个厕间放置垃圾筐，筐内放置垃圾袋，垃圾不能超过2/3；定期清倒垃圾筐并消毒，保持卫生干净</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836967"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卫生纸架无污迹、尘土</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836967"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公共区域涂料墙无浮尘</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836967"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窗户玻璃及玻璃门无泥点，无鸟粪，无清洗遗留水痕，无雨雪遗留痕迹，明亮，无污痕，无污点，无手印。定期清洗，保证玻璃明亮</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836967"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天花板、灯罩及通风口清洁、无可视污垢和蜘蛛网等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836967"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陶瓷地砖和墙围无垃圾、尘土及污物</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836967"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水泥天花板无可视污垢和蜘蛛网等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836967"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保证灭火瓶，烟感器及消防报警器等设施干净、整洁，无尘土，无污垢</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836967"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下水道、雨水篦子雨季之前，及时疏通下水、清理雨水篦子，保证下水道畅通</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836967"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地毯、地垫清洗后无污迹、水印、杂物</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right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836967"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院内垃圾桶摆放位置正确， 筒外无垃圾、异物，随时查看随时处理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bottom w:val="single" w:color="836967" w:sz="4" w:space="0"/>
              <w:right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836967"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楼梯无垃圾、口香糖、地面干燥无水渍；扶手及安全出口标示牌确保无灰尘，蜘蛛网，且保洁员有义务在发现安全标示牌或者扶手损坏及时上报</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restart"/>
            <w:tcBorders>
              <w:top w:val="single" w:color="auto" w:sz="4" w:space="0"/>
              <w:bottom w:val="single" w:color="auto" w:sz="4" w:space="0"/>
              <w:right w:val="single" w:color="auto" w:sz="4" w:space="0"/>
            </w:tcBorders>
            <w:tcMar>
              <w:left w:w="10" w:type="dxa"/>
              <w:right w:w="10" w:type="dxa"/>
            </w:tcMar>
            <w:vAlign w:val="center"/>
          </w:tcPr>
          <w:p>
            <w:pPr>
              <w:tabs>
                <w:tab w:val="left" w:pos="425"/>
                <w:tab w:val="left" w:pos="540"/>
              </w:tabs>
              <w:spacing w:line="360" w:lineRule="auto"/>
              <w:jc w:val="center"/>
              <w:rPr>
                <w:rFonts w:ascii="仿宋" w:hAnsi="仿宋" w:eastAsia="仿宋"/>
                <w:color w:val="000000"/>
                <w:sz w:val="24"/>
                <w:szCs w:val="24"/>
              </w:rPr>
            </w:pPr>
            <w:r>
              <w:rPr>
                <w:rFonts w:hint="eastAsia" w:ascii="仿宋" w:hAnsi="仿宋" w:eastAsia="仿宋"/>
                <w:color w:val="000000"/>
                <w:sz w:val="24"/>
                <w:szCs w:val="24"/>
              </w:rPr>
              <w:t>活动室、图书馆、会议室等（除餐厅外的大型教室）</w:t>
            </w:r>
          </w:p>
        </w:tc>
        <w:tc>
          <w:tcPr>
            <w:tcW w:w="6947" w:type="dxa"/>
            <w:tcBorders>
              <w:top w:val="single" w:color="836967" w:sz="4" w:space="0"/>
              <w:left w:val="single" w:color="auto" w:sz="4" w:space="0"/>
              <w:bottom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地面、窗台、消防设备设施无灰尘</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 w:val="left" w:pos="540"/>
              </w:tabs>
              <w:spacing w:line="360" w:lineRule="auto"/>
              <w:ind w:firstLine="480" w:firstLineChars="200"/>
              <w:jc w:val="center"/>
              <w:rPr>
                <w:rFonts w:ascii="仿宋" w:hAnsi="仿宋" w:eastAsia="仿宋"/>
                <w:color w:val="000000"/>
                <w:sz w:val="24"/>
                <w:szCs w:val="24"/>
              </w:rPr>
            </w:pPr>
          </w:p>
        </w:tc>
        <w:tc>
          <w:tcPr>
            <w:tcW w:w="6947" w:type="dxa"/>
            <w:tcBorders>
              <w:top w:val="single" w:color="836967" w:sz="4" w:space="0"/>
              <w:left w:val="single" w:color="auto" w:sz="4" w:space="0"/>
              <w:bottom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活动器材无赃物、污渍，定期维护</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auto"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每天清倒垃圾筐并每周消毒，保持卫生干净</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auto"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涂料墙确保无浮尘</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auto"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大理石、水磨石地面、墙面确保干净、无污渍</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auto"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天花板、灯罩及通风口确保清洁、无明显污垢、蜘蛛网等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333"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auto" w:sz="4" w:space="0"/>
              <w:bottom w:val="single" w:color="836967"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准备进行清洁作业时应在门口放置工作提示牌</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763" w:hRule="atLeast"/>
          <w:jc w:val="center"/>
        </w:trPr>
        <w:tc>
          <w:tcPr>
            <w:tcW w:w="1333"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p>
        </w:tc>
        <w:tc>
          <w:tcPr>
            <w:tcW w:w="6947" w:type="dxa"/>
            <w:tcBorders>
              <w:top w:val="single" w:color="836967" w:sz="4" w:space="0"/>
              <w:left w:val="single" w:color="auto" w:sz="4" w:space="0"/>
              <w:bottom w:val="single" w:color="836967" w:sz="4" w:space="0"/>
            </w:tcBorders>
            <w:tcMar>
              <w:left w:w="10" w:type="dxa"/>
              <w:right w:w="10" w:type="dxa"/>
            </w:tcMar>
            <w:vAlign w:val="cente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垃圾筐套有垃圾袋、筐内垃圾及时清理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7475" w:hRule="atLeast"/>
          <w:jc w:val="center"/>
        </w:trPr>
        <w:tc>
          <w:tcPr>
            <w:tcW w:w="1333" w:type="dxa"/>
            <w:tcBorders>
              <w:top w:val="single" w:color="auto" w:sz="4" w:space="0"/>
              <w:bottom w:val="single" w:color="auto" w:sz="4" w:space="0"/>
              <w:right w:val="single" w:color="auto" w:sz="4" w:space="0"/>
            </w:tcBorders>
            <w:tcMar>
              <w:left w:w="10" w:type="dxa"/>
              <w:right w:w="10" w:type="dxa"/>
            </w:tcMar>
            <w:vAlign w:val="center"/>
          </w:tcPr>
          <w:p>
            <w:pPr>
              <w:tabs>
                <w:tab w:val="left" w:pos="425"/>
                <w:tab w:val="left" w:pos="540"/>
              </w:tabs>
              <w:spacing w:line="360" w:lineRule="auto"/>
              <w:jc w:val="center"/>
              <w:rPr>
                <w:rFonts w:ascii="仿宋" w:hAnsi="仿宋" w:eastAsia="仿宋"/>
                <w:color w:val="000000"/>
                <w:sz w:val="24"/>
                <w:szCs w:val="24"/>
              </w:rPr>
            </w:pPr>
            <w:r>
              <w:rPr>
                <w:rFonts w:hint="eastAsia" w:ascii="仿宋" w:hAnsi="仿宋" w:eastAsia="仿宋"/>
                <w:color w:val="000000"/>
                <w:sz w:val="24"/>
                <w:szCs w:val="24"/>
              </w:rPr>
              <w:t>安保服务</w:t>
            </w:r>
          </w:p>
        </w:tc>
        <w:tc>
          <w:tcPr>
            <w:tcW w:w="6947" w:type="dxa"/>
            <w:tcBorders>
              <w:top w:val="single" w:color="836967" w:sz="4" w:space="0"/>
              <w:left w:val="single" w:color="auto" w:sz="4" w:space="0"/>
              <w:bottom w:val="single" w:color="auto"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1.保证院内设施、机动车安全，未经许可严禁楼内财产搬出，定时巡视，</w:t>
            </w:r>
            <w:r>
              <w:rPr>
                <w:rFonts w:hint="eastAsia" w:ascii="仿宋" w:hAnsi="仿宋" w:eastAsia="仿宋"/>
                <w:color w:val="000000"/>
                <w:sz w:val="26"/>
                <w:szCs w:val="26"/>
              </w:rPr>
              <w:t>对车辆进行引导，避免乱停放；上下班高峰期时段，疏导车辆，避免造成交通堵塞</w:t>
            </w:r>
            <w:r>
              <w:rPr>
                <w:rFonts w:hint="eastAsia" w:ascii="仿宋" w:hAnsi="仿宋" w:eastAsia="仿宋"/>
                <w:color w:val="000000"/>
                <w:sz w:val="24"/>
                <w:szCs w:val="24"/>
              </w:rPr>
              <w:t>；</w:t>
            </w:r>
          </w:p>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2.熟悉楼宇、院内格局，定时（每2小时）巡查一次，维护院内正常秩序，保证机动车有序停放，发现情况及时汇报，并妥善处理，发生突发事件及时报警；</w:t>
            </w:r>
          </w:p>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3.掌握消防器材使用方法，熟知器材摆放位置和消防通道走向，遇有火情及时报警并引导工作人员安全撤离；</w:t>
            </w:r>
          </w:p>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4.当班期间做好交接班记录、工作记录，要求记录全面、清晰，保证记录内容真实有效；</w:t>
            </w:r>
          </w:p>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5.对楼内、楼门前及停车场做好白天和夜间巡查，发现各种设施设备、消防管道、设施不能正常运行或其他违反安全规定的问题，要立即查明原因，及时处理，不能立即解决的检查人员向上级领导汇报；</w:t>
            </w:r>
          </w:p>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6.按时到指定地点巡更签到；</w:t>
            </w:r>
          </w:p>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7.做好访客登记工作，在征的被访问人同意后方可入内。</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1434" w:hRule="atLeast"/>
          <w:jc w:val="center"/>
        </w:trPr>
        <w:tc>
          <w:tcPr>
            <w:tcW w:w="1333" w:type="dxa"/>
            <w:tcBorders>
              <w:top w:val="single" w:color="auto" w:sz="4" w:space="0"/>
              <w:right w:val="single" w:color="auto" w:sz="4" w:space="0"/>
            </w:tcBorders>
            <w:tcMar>
              <w:left w:w="10" w:type="dxa"/>
              <w:right w:w="10" w:type="dxa"/>
            </w:tcMar>
            <w:vAlign w:val="center"/>
          </w:tcPr>
          <w:p>
            <w:pPr>
              <w:tabs>
                <w:tab w:val="left" w:pos="425"/>
                <w:tab w:val="left" w:pos="540"/>
              </w:tabs>
              <w:spacing w:line="360" w:lineRule="auto"/>
              <w:jc w:val="center"/>
              <w:rPr>
                <w:rFonts w:ascii="仿宋" w:hAnsi="仿宋" w:eastAsia="仿宋"/>
                <w:color w:val="000000"/>
                <w:sz w:val="24"/>
                <w:szCs w:val="24"/>
              </w:rPr>
            </w:pPr>
            <w:r>
              <w:rPr>
                <w:rFonts w:hint="eastAsia" w:ascii="仿宋" w:hAnsi="仿宋" w:eastAsia="仿宋"/>
                <w:color w:val="000000"/>
                <w:sz w:val="24"/>
                <w:szCs w:val="24"/>
              </w:rPr>
              <w:t>服务规范与文明用语</w:t>
            </w:r>
          </w:p>
        </w:tc>
        <w:tc>
          <w:tcPr>
            <w:tcW w:w="6947" w:type="dxa"/>
            <w:tcBorders>
              <w:top w:val="single" w:color="auto" w:sz="4" w:space="0"/>
              <w:left w:val="single" w:color="auto" w:sz="4" w:space="0"/>
            </w:tcBorders>
            <w:tcMar>
              <w:left w:w="10" w:type="dxa"/>
              <w:right w:w="10" w:type="dxa"/>
            </w:tcMar>
          </w:tcPr>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 xml:space="preserve">    1、保洁员、保安应穿着统一的工作服上班；</w:t>
            </w:r>
          </w:p>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2.按照规范佩戴证件及工牌。工作服必须干净、整洁、无异味；</w:t>
            </w:r>
          </w:p>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3.工作期间须将衣扣全部扣好，不得将衣扣解开</w:t>
            </w:r>
          </w:p>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4. 捡拾物品要及时上交；</w:t>
            </w:r>
          </w:p>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5.不得违反各项工作的操作规程；</w:t>
            </w:r>
          </w:p>
          <w:p>
            <w:pPr>
              <w:tabs>
                <w:tab w:val="left" w:pos="425"/>
                <w:tab w:val="left" w:pos="540"/>
              </w:tabs>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6.遇到外来人员、须主动微笑问好，须使用文明用语。</w:t>
            </w:r>
          </w:p>
        </w:tc>
      </w:tr>
    </w:tbl>
    <w:p>
      <w:pPr>
        <w:tabs>
          <w:tab w:val="left" w:pos="425"/>
        </w:tabs>
        <w:spacing w:line="360" w:lineRule="auto"/>
        <w:ind w:firstLine="562" w:firstLineChars="200"/>
        <w:rPr>
          <w:rFonts w:ascii="仿宋" w:hAnsi="仿宋" w:eastAsia="仿宋" w:cs="仿宋"/>
          <w:sz w:val="28"/>
          <w:szCs w:val="28"/>
        </w:rPr>
      </w:pPr>
      <w:r>
        <w:rPr>
          <w:rFonts w:hint="eastAsia" w:ascii="仿宋" w:hAnsi="仿宋" w:eastAsia="仿宋"/>
          <w:b/>
          <w:color w:val="000000"/>
          <w:sz w:val="28"/>
          <w:szCs w:val="28"/>
        </w:rPr>
        <w:t>（四）管理</w:t>
      </w:r>
      <w:r>
        <w:rPr>
          <w:rFonts w:hint="eastAsia" w:ascii="仿宋" w:hAnsi="仿宋" w:eastAsia="仿宋"/>
          <w:sz w:val="28"/>
          <w:szCs w:val="28"/>
        </w:rPr>
        <w:t>：</w:t>
      </w:r>
    </w:p>
    <w:p>
      <w:pPr>
        <w:tabs>
          <w:tab w:val="left" w:pos="425"/>
        </w:tabs>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投标方未按照合同约定给招标方提供合同约定的服务，或所提供的服务不满足合同约定的标准，招标方有权对投标方通过以下方式进行违约处理及管控：</w:t>
      </w:r>
    </w:p>
    <w:p>
      <w:pPr>
        <w:tabs>
          <w:tab w:val="left" w:pos="425"/>
        </w:tabs>
        <w:spacing w:line="360" w:lineRule="auto"/>
        <w:rPr>
          <w:rFonts w:ascii="仿宋" w:hAnsi="仿宋" w:eastAsia="仿宋" w:cs="仿宋"/>
          <w:sz w:val="28"/>
          <w:szCs w:val="28"/>
        </w:rPr>
      </w:pPr>
      <w:r>
        <w:rPr>
          <w:rFonts w:hint="eastAsia" w:ascii="仿宋" w:hAnsi="仿宋" w:eastAsia="仿宋" w:cs="仿宋"/>
          <w:sz w:val="28"/>
          <w:szCs w:val="28"/>
        </w:rPr>
        <w:t>投标方在同一服务标准第一次未达标，招标方有权给投标方下发整改通知单，投标方如未在整改期限内完成，招标方对投标方予以违约处罚200元/次，一月内连续发生超过三次，招标方对投标方予以违约处罚违约500元，并以此类推。</w:t>
      </w:r>
    </w:p>
    <w:p>
      <w:pPr>
        <w:ind w:firstLine="562" w:firstLineChars="200"/>
        <w:rPr>
          <w:rFonts w:ascii="仿宋" w:hAnsi="仿宋" w:eastAsia="仿宋"/>
          <w:b/>
          <w:color w:val="000000"/>
          <w:sz w:val="28"/>
          <w:szCs w:val="28"/>
        </w:rPr>
      </w:pPr>
      <w:r>
        <w:rPr>
          <w:rFonts w:hint="eastAsia" w:ascii="仿宋" w:hAnsi="仿宋" w:eastAsia="仿宋"/>
          <w:b/>
          <w:color w:val="000000"/>
          <w:sz w:val="28"/>
          <w:szCs w:val="28"/>
        </w:rPr>
        <w:t>（五）验收标准</w:t>
      </w:r>
    </w:p>
    <w:p>
      <w:pPr>
        <w:ind w:firstLine="560" w:firstLineChars="200"/>
        <w:rPr>
          <w:rFonts w:ascii="仿宋" w:hAnsi="仿宋" w:eastAsia="仿宋"/>
          <w:color w:val="000000"/>
          <w:sz w:val="28"/>
          <w:szCs w:val="28"/>
        </w:rPr>
      </w:pPr>
      <w:r>
        <w:rPr>
          <w:rFonts w:hint="eastAsia" w:ascii="仿宋" w:hAnsi="仿宋" w:eastAsia="仿宋"/>
          <w:color w:val="000000"/>
          <w:sz w:val="28"/>
          <w:szCs w:val="28"/>
        </w:rPr>
        <w:t>投标方提供劳务服务，提供劳务人员数量符合招标要求，且上岗人员经过招标方考核合格后，可验收。</w:t>
      </w:r>
    </w:p>
    <w:p>
      <w:pPr>
        <w:ind w:firstLine="562" w:firstLineChars="200"/>
        <w:rPr>
          <w:rFonts w:ascii="仿宋" w:hAnsi="仿宋" w:eastAsia="仿宋"/>
          <w:color w:val="000000"/>
          <w:sz w:val="28"/>
          <w:szCs w:val="28"/>
        </w:rPr>
      </w:pPr>
      <w:r>
        <w:rPr>
          <w:rFonts w:hint="eastAsia" w:ascii="仿宋" w:hAnsi="仿宋" w:eastAsia="仿宋" w:cs="仿宋_GB2312"/>
          <w:b/>
          <w:color w:val="000000"/>
          <w:sz w:val="28"/>
          <w:szCs w:val="28"/>
        </w:rPr>
        <w:t>三、其他</w:t>
      </w:r>
    </w:p>
    <w:p>
      <w:pPr>
        <w:autoSpaceDE w:val="0"/>
        <w:autoSpaceDN w:val="0"/>
        <w:adjustRightInd w:val="0"/>
        <w:spacing w:line="360" w:lineRule="auto"/>
        <w:ind w:firstLine="562" w:firstLineChars="200"/>
        <w:rPr>
          <w:rFonts w:ascii="仿宋" w:hAnsi="仿宋" w:eastAsia="仿宋" w:cs="仿宋_GB2312"/>
          <w:b/>
          <w:color w:val="000000"/>
          <w:sz w:val="28"/>
          <w:szCs w:val="28"/>
        </w:rPr>
      </w:pPr>
      <w:r>
        <w:rPr>
          <w:rFonts w:ascii="仿宋" w:hAnsi="仿宋" w:eastAsia="仿宋" w:cs="仿宋_GB2312"/>
          <w:b/>
          <w:color w:val="000000"/>
          <w:sz w:val="28"/>
          <w:szCs w:val="28"/>
        </w:rPr>
        <w:t>1</w:t>
      </w:r>
      <w:r>
        <w:rPr>
          <w:rFonts w:hint="eastAsia" w:ascii="仿宋" w:hAnsi="仿宋" w:eastAsia="仿宋" w:cs="仿宋_GB2312"/>
          <w:b/>
          <w:color w:val="000000"/>
          <w:sz w:val="28"/>
          <w:szCs w:val="28"/>
        </w:rPr>
        <w:t>、服务范围中服务内容的增加或减少以实际发生为准，各业务承接以交付的时间为准。</w:t>
      </w:r>
      <w:r>
        <w:rPr>
          <w:rFonts w:ascii="仿宋" w:hAnsi="仿宋" w:eastAsia="仿宋" w:cs="仿宋_GB2312"/>
          <w:b/>
          <w:color w:val="000000"/>
          <w:sz w:val="28"/>
          <w:szCs w:val="28"/>
        </w:rPr>
        <w:t xml:space="preserve"> </w:t>
      </w:r>
    </w:p>
    <w:p>
      <w:pPr>
        <w:autoSpaceDE w:val="0"/>
        <w:autoSpaceDN w:val="0"/>
        <w:adjustRightInd w:val="0"/>
        <w:spacing w:line="360" w:lineRule="auto"/>
        <w:ind w:firstLine="562" w:firstLineChars="200"/>
        <w:rPr>
          <w:rFonts w:ascii="仿宋" w:hAnsi="仿宋" w:eastAsia="仿宋" w:cs="仿宋_GB2312"/>
          <w:b/>
          <w:color w:val="000000"/>
          <w:sz w:val="28"/>
          <w:szCs w:val="28"/>
        </w:rPr>
      </w:pPr>
      <w:r>
        <w:rPr>
          <w:rFonts w:hint="eastAsia" w:ascii="仿宋" w:hAnsi="仿宋" w:eastAsia="仿宋" w:cs="仿宋_GB2312"/>
          <w:b/>
          <w:color w:val="000000"/>
          <w:sz w:val="28"/>
          <w:szCs w:val="28"/>
        </w:rPr>
        <w:t>2、</w:t>
      </w:r>
      <w:r>
        <w:rPr>
          <w:rFonts w:hint="eastAsia" w:ascii="仿宋" w:hAnsi="仿宋" w:eastAsia="仿宋"/>
          <w:b/>
          <w:sz w:val="28"/>
          <w:szCs w:val="28"/>
        </w:rPr>
        <w:t>请供应商</w:t>
      </w:r>
      <w:r>
        <w:rPr>
          <w:rFonts w:hint="eastAsia" w:ascii="仿宋" w:hAnsi="仿宋" w:eastAsia="仿宋" w:cs="仿宋_GB2312"/>
          <w:b/>
          <w:sz w:val="28"/>
          <w:szCs w:val="28"/>
        </w:rPr>
        <w:t>如有疑问，请与项目联系人联系，联系时间截止为</w:t>
      </w:r>
      <w:r>
        <w:rPr>
          <w:rFonts w:hint="eastAsia" w:ascii="仿宋" w:hAnsi="仿宋" w:eastAsia="仿宋"/>
          <w:b/>
          <w:sz w:val="28"/>
          <w:szCs w:val="28"/>
        </w:rPr>
        <w:t>于6月</w:t>
      </w:r>
      <w:r>
        <w:rPr>
          <w:rFonts w:hint="eastAsia" w:ascii="仿宋" w:hAnsi="仿宋" w:eastAsia="仿宋"/>
          <w:b/>
          <w:color w:val="000000"/>
          <w:sz w:val="28"/>
          <w:szCs w:val="28"/>
        </w:rPr>
        <w:t>25日17:00</w:t>
      </w:r>
      <w:r>
        <w:rPr>
          <w:rFonts w:hint="eastAsia" w:ascii="仿宋" w:hAnsi="仿宋" w:eastAsia="仿宋" w:cs="仿宋_GB2312"/>
          <w:b/>
          <w:sz w:val="28"/>
          <w:szCs w:val="28"/>
        </w:rPr>
        <w:t>。</w:t>
      </w:r>
    </w:p>
    <w:p>
      <w:pPr>
        <w:autoSpaceDE w:val="0"/>
        <w:autoSpaceDN w:val="0"/>
        <w:adjustRightInd w:val="0"/>
        <w:spacing w:line="360" w:lineRule="auto"/>
        <w:ind w:firstLine="562" w:firstLineChars="200"/>
        <w:rPr>
          <w:rFonts w:ascii="仿宋" w:hAnsi="仿宋" w:eastAsia="仿宋" w:cs="仿宋_GB2312"/>
          <w:b/>
          <w:color w:val="000000"/>
          <w:sz w:val="28"/>
          <w:szCs w:val="28"/>
        </w:rPr>
      </w:pPr>
      <w:r>
        <w:rPr>
          <w:rFonts w:hint="eastAsia" w:ascii="仿宋" w:hAnsi="仿宋" w:eastAsia="仿宋"/>
          <w:b/>
          <w:color w:val="000000"/>
          <w:sz w:val="28"/>
          <w:szCs w:val="28"/>
        </w:rPr>
        <w:t>联系人：何国栋</w:t>
      </w:r>
      <w:r>
        <w:rPr>
          <w:rFonts w:ascii="仿宋" w:hAnsi="仿宋" w:eastAsia="仿宋"/>
          <w:b/>
          <w:color w:val="000000"/>
          <w:sz w:val="28"/>
          <w:szCs w:val="28"/>
        </w:rPr>
        <w:t xml:space="preserve">         </w:t>
      </w:r>
      <w:r>
        <w:rPr>
          <w:rFonts w:hint="eastAsia" w:ascii="仿宋" w:hAnsi="仿宋" w:eastAsia="仿宋"/>
          <w:b/>
          <w:color w:val="000000"/>
          <w:sz w:val="28"/>
          <w:szCs w:val="28"/>
        </w:rPr>
        <w:t>联系电话：</w:t>
      </w:r>
      <w:r>
        <w:rPr>
          <w:rFonts w:ascii="仿宋" w:hAnsi="仿宋" w:eastAsia="仿宋"/>
          <w:b/>
          <w:color w:val="000000"/>
          <w:sz w:val="28"/>
          <w:szCs w:val="28"/>
        </w:rPr>
        <w:t>0477-38558</w:t>
      </w:r>
      <w:r>
        <w:rPr>
          <w:rFonts w:hint="eastAsia" w:ascii="仿宋" w:hAnsi="仿宋" w:eastAsia="仿宋"/>
          <w:b/>
          <w:color w:val="000000"/>
          <w:sz w:val="28"/>
          <w:szCs w:val="28"/>
        </w:rPr>
        <w:t>18</w:t>
      </w:r>
    </w:p>
    <w:p>
      <w:pPr>
        <w:widowControl/>
        <w:rPr>
          <w:rFonts w:ascii="仿宋" w:hAnsi="仿宋" w:eastAsia="仿宋"/>
        </w:rPr>
      </w:pPr>
      <w:r>
        <w:rPr>
          <w:rFonts w:ascii="仿宋" w:hAnsi="仿宋" w:eastAsia="仿宋"/>
        </w:rPr>
        <w:br w:type="page"/>
      </w:r>
    </w:p>
    <w:p>
      <w:pPr>
        <w:pStyle w:val="2"/>
        <w:overflowPunct w:val="0"/>
        <w:spacing w:line="360" w:lineRule="auto"/>
        <w:rPr>
          <w:rFonts w:ascii="仿宋" w:hAnsi="仿宋" w:eastAsia="仿宋"/>
        </w:rPr>
      </w:pPr>
      <w:bookmarkStart w:id="11" w:name="_Toc515961871"/>
      <w:bookmarkStart w:id="12" w:name="_Toc482106461"/>
      <w:r>
        <w:rPr>
          <w:rFonts w:hint="eastAsia" w:ascii="仿宋" w:hAnsi="仿宋" w:eastAsia="仿宋"/>
        </w:rPr>
        <w:t>第三章 投标人须知</w:t>
      </w:r>
      <w:bookmarkEnd w:id="11"/>
      <w:bookmarkEnd w:id="12"/>
    </w:p>
    <w:p>
      <w:pPr>
        <w:pStyle w:val="3"/>
        <w:overflowPunct w:val="0"/>
        <w:spacing w:line="360" w:lineRule="auto"/>
        <w:rPr>
          <w:rFonts w:ascii="仿宋" w:hAnsi="仿宋" w:eastAsia="仿宋"/>
          <w:sz w:val="28"/>
          <w:szCs w:val="28"/>
        </w:rPr>
      </w:pPr>
      <w:r>
        <w:rPr>
          <w:rFonts w:hint="eastAsia" w:ascii="仿宋" w:hAnsi="仿宋" w:eastAsia="仿宋"/>
          <w:sz w:val="28"/>
          <w:szCs w:val="28"/>
        </w:rPr>
        <w:t xml:space="preserve">    </w:t>
      </w:r>
      <w:bookmarkStart w:id="13" w:name="_Toc515961872"/>
      <w:bookmarkStart w:id="14" w:name="_Toc482106462"/>
      <w:r>
        <w:rPr>
          <w:rFonts w:hint="eastAsia" w:ascii="仿宋" w:hAnsi="仿宋" w:eastAsia="仿宋"/>
          <w:sz w:val="28"/>
          <w:szCs w:val="28"/>
        </w:rPr>
        <w:t>一、供应商资格要求</w:t>
      </w:r>
      <w:bookmarkEnd w:id="13"/>
      <w:bookmarkEnd w:id="14"/>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（一）供应商应符合《中华人民共和国政府采购法》第二十二条规定的条件。</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s="宋体"/>
          <w:bCs/>
          <w:kern w:val="0"/>
          <w:sz w:val="28"/>
        </w:rPr>
        <w:t>（二）投标方企业</w:t>
      </w:r>
      <w:r>
        <w:rPr>
          <w:rFonts w:hint="eastAsia" w:ascii="仿宋" w:hAnsi="仿宋" w:eastAsia="仿宋"/>
          <w:color w:val="000000"/>
          <w:sz w:val="28"/>
          <w:szCs w:val="28"/>
        </w:rPr>
        <w:t>工商注册所在地或项目所在地检察机关出具的《检察机关行贿犯罪档案查询结果告知函》（在有效期范围内）</w:t>
      </w:r>
    </w:p>
    <w:p>
      <w:pPr>
        <w:pStyle w:val="3"/>
        <w:overflowPunct w:val="0"/>
        <w:spacing w:line="360" w:lineRule="auto"/>
        <w:rPr>
          <w:rFonts w:ascii="仿宋" w:hAnsi="仿宋" w:eastAsia="仿宋"/>
          <w:sz w:val="28"/>
          <w:szCs w:val="28"/>
        </w:rPr>
      </w:pPr>
      <w:r>
        <w:rPr>
          <w:rFonts w:hint="eastAsia" w:ascii="仿宋" w:hAnsi="仿宋" w:eastAsia="仿宋"/>
          <w:sz w:val="28"/>
          <w:szCs w:val="28"/>
        </w:rPr>
        <w:t xml:space="preserve">    </w:t>
      </w:r>
      <w:bookmarkStart w:id="15" w:name="_Toc515961873"/>
      <w:bookmarkStart w:id="16" w:name="_Toc482106463"/>
      <w:r>
        <w:rPr>
          <w:rFonts w:hint="eastAsia" w:ascii="仿宋" w:hAnsi="仿宋" w:eastAsia="仿宋"/>
          <w:sz w:val="28"/>
          <w:szCs w:val="28"/>
        </w:rPr>
        <w:t>二、响应文件的构成</w:t>
      </w:r>
      <w:bookmarkEnd w:id="15"/>
      <w:bookmarkEnd w:id="16"/>
    </w:p>
    <w:p>
      <w:pPr>
        <w:pStyle w:val="6"/>
        <w:overflowPunct w:val="0"/>
        <w:adjustRightInd w:val="0"/>
        <w:snapToGrid w:val="0"/>
        <w:spacing w:line="360" w:lineRule="auto"/>
        <w:ind w:firstLine="560" w:firstLineChars="200"/>
        <w:rPr>
          <w:rFonts w:ascii="仿宋" w:hAnsi="仿宋" w:eastAsia="仿宋"/>
          <w:bCs/>
          <w:color w:val="000000"/>
          <w:sz w:val="28"/>
          <w:szCs w:val="28"/>
        </w:rPr>
      </w:pPr>
      <w:r>
        <w:rPr>
          <w:rFonts w:hint="eastAsia" w:ascii="仿宋" w:hAnsi="仿宋" w:eastAsia="仿宋"/>
          <w:bCs/>
          <w:color w:val="000000"/>
          <w:sz w:val="28"/>
          <w:szCs w:val="28"/>
        </w:rPr>
        <w:t>供应商编制的响应文件应包括但不少于下列内容：</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1、投标承诺书</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2、委托代表投标时法人代表授权书</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3、项目分项报价明细表</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4、项目服务方案、承诺和质量保证措施</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5、投标人情况介绍，包括办公场所、机构设置、技术力量、服务能力、质量管理、人员证书等</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6、供应商应提供的各类证明材料</w:t>
      </w:r>
      <w:r>
        <w:rPr>
          <w:rFonts w:hint="eastAsia" w:ascii="宋体" w:hAnsi="宋体"/>
          <w:sz w:val="28"/>
          <w:szCs w:val="28"/>
        </w:rPr>
        <w:t>；</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（1）投标人营业执照副本（三证合一）、开户许可证、行业主管部门等</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（2）行业主管部门或相关部门颁发的（获奖）证书</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（3）近三年以来有效的项目公司业绩、说明，中标通知书或相关合同复印件（须加盖公章）</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（5）其他有利于投标的投标人的证明文件</w:t>
      </w:r>
    </w:p>
    <w:p>
      <w:pPr>
        <w:overflowPunct w:val="0"/>
        <w:spacing w:line="360" w:lineRule="auto"/>
        <w:ind w:right="114" w:firstLine="560" w:firstLineChars="200"/>
        <w:rPr>
          <w:rFonts w:ascii="仿宋" w:hAnsi="仿宋" w:eastAsia="仿宋"/>
          <w:color w:val="000000"/>
          <w:sz w:val="28"/>
          <w:szCs w:val="28"/>
        </w:rPr>
      </w:pPr>
      <w:r>
        <w:rPr>
          <w:rFonts w:hint="eastAsia" w:ascii="仿宋" w:hAnsi="仿宋" w:eastAsia="仿宋"/>
          <w:color w:val="000000"/>
          <w:kern w:val="0"/>
          <w:sz w:val="28"/>
          <w:szCs w:val="28"/>
        </w:rPr>
        <w:t>以上响应文件需递交正本1份，副本5份，PDF格式电子文档1份</w:t>
      </w:r>
      <w:r>
        <w:rPr>
          <w:rFonts w:hint="eastAsia" w:ascii="仿宋" w:hAnsi="仿宋" w:eastAsia="仿宋"/>
          <w:b/>
          <w:sz w:val="28"/>
          <w:szCs w:val="28"/>
        </w:rPr>
        <w:t>(U盘)</w:t>
      </w:r>
      <w:r>
        <w:rPr>
          <w:rFonts w:hint="eastAsia" w:ascii="仿宋" w:hAnsi="仿宋" w:eastAsia="仿宋"/>
          <w:color w:val="000000"/>
          <w:kern w:val="0"/>
          <w:sz w:val="28"/>
          <w:szCs w:val="28"/>
        </w:rPr>
        <w:t>；以上资料需签字、盖章的必须由法定代表人或经其授权的代表签字，并加盖公章,</w:t>
      </w:r>
      <w:r>
        <w:rPr>
          <w:rFonts w:hint="eastAsia" w:ascii="仿宋" w:hAnsi="仿宋" w:eastAsia="仿宋"/>
          <w:color w:val="FF0000"/>
          <w:kern w:val="0"/>
          <w:sz w:val="32"/>
          <w:szCs w:val="28"/>
        </w:rPr>
        <w:t>响应文件必须密封</w:t>
      </w:r>
      <w:r>
        <w:rPr>
          <w:rFonts w:hint="eastAsia" w:ascii="仿宋" w:hAnsi="仿宋" w:eastAsia="仿宋"/>
          <w:color w:val="000000"/>
          <w:kern w:val="0"/>
          <w:sz w:val="28"/>
          <w:szCs w:val="28"/>
        </w:rPr>
        <w:t>。</w:t>
      </w:r>
      <w:r>
        <w:rPr>
          <w:rFonts w:hint="eastAsia" w:ascii="仿宋" w:hAnsi="仿宋" w:eastAsia="仿宋"/>
          <w:color w:val="000000"/>
          <w:sz w:val="28"/>
          <w:szCs w:val="28"/>
        </w:rPr>
        <w:t>响应文件及资料无论供应商是否中标均不予退还。</w:t>
      </w:r>
    </w:p>
    <w:p>
      <w:pPr>
        <w:pStyle w:val="3"/>
        <w:overflowPunct w:val="0"/>
        <w:spacing w:line="360" w:lineRule="auto"/>
        <w:ind w:firstLine="562" w:firstLineChars="200"/>
        <w:rPr>
          <w:rFonts w:ascii="仿宋" w:hAnsi="仿宋" w:eastAsia="仿宋"/>
          <w:sz w:val="28"/>
        </w:rPr>
      </w:pPr>
      <w:bookmarkStart w:id="17" w:name="_Toc482106464"/>
      <w:bookmarkStart w:id="18" w:name="_Toc515961874"/>
      <w:r>
        <w:rPr>
          <w:rFonts w:hint="eastAsia" w:ascii="仿宋" w:hAnsi="仿宋" w:eastAsia="仿宋"/>
          <w:sz w:val="28"/>
        </w:rPr>
        <w:t>三、评标与中标</w:t>
      </w:r>
      <w:bookmarkEnd w:id="17"/>
      <w:bookmarkEnd w:id="18"/>
    </w:p>
    <w:p>
      <w:pPr>
        <w:pStyle w:val="6"/>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 xml:space="preserve">    （一）成立磋商小组</w:t>
      </w:r>
    </w:p>
    <w:p>
      <w:pPr>
        <w:pStyle w:val="6"/>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鄂尔多斯机场物业服务有限公司采购管理部门组织成立竞争性磋商小组，小组将按照以下基本程序组织磋商：</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1、供应商签到；</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2、供应商资格及响应文件初审；</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3、与供应商针对报价及相关服务等内容依次进行项目谈判；</w:t>
      </w:r>
    </w:p>
    <w:p>
      <w:pPr>
        <w:overflowPunct w:val="0"/>
        <w:snapToGrid w:val="0"/>
        <w:spacing w:line="360" w:lineRule="auto"/>
        <w:ind w:firstLine="610" w:firstLineChars="218"/>
        <w:rPr>
          <w:rFonts w:ascii="仿宋" w:hAnsi="仿宋" w:eastAsia="仿宋"/>
          <w:color w:val="000000" w:themeColor="text1"/>
          <w:sz w:val="28"/>
          <w:szCs w:val="28"/>
        </w:rPr>
      </w:pPr>
      <w:r>
        <w:rPr>
          <w:rFonts w:hint="eastAsia" w:ascii="仿宋" w:hAnsi="仿宋" w:eastAsia="仿宋"/>
          <w:color w:val="000000" w:themeColor="text1"/>
          <w:sz w:val="28"/>
          <w:szCs w:val="28"/>
        </w:rPr>
        <w:t>4、根据谈判内容详细审查并评判；</w:t>
      </w:r>
    </w:p>
    <w:p>
      <w:pPr>
        <w:overflowPunct w:val="0"/>
        <w:snapToGrid w:val="0"/>
        <w:spacing w:line="360" w:lineRule="auto"/>
        <w:ind w:firstLine="610" w:firstLineChars="218"/>
        <w:rPr>
          <w:rFonts w:ascii="仿宋" w:hAnsi="仿宋" w:eastAsia="仿宋"/>
          <w:color w:val="000000" w:themeColor="text1"/>
          <w:sz w:val="28"/>
          <w:szCs w:val="28"/>
        </w:rPr>
      </w:pPr>
      <w:r>
        <w:rPr>
          <w:rFonts w:hint="eastAsia" w:ascii="仿宋" w:hAnsi="仿宋" w:eastAsia="仿宋"/>
          <w:color w:val="000000" w:themeColor="text1"/>
          <w:sz w:val="28"/>
          <w:szCs w:val="28"/>
        </w:rPr>
        <w:t>5、根据投标商综合情况打分并确定中标候选人。</w:t>
      </w:r>
    </w:p>
    <w:p>
      <w:pPr>
        <w:pStyle w:val="6"/>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（二）磋商与评标</w:t>
      </w:r>
    </w:p>
    <w:p>
      <w:pPr>
        <w:pStyle w:val="6"/>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1、资格初审</w:t>
      </w:r>
    </w:p>
    <w:p>
      <w:pPr>
        <w:overflowPunct w:val="0"/>
        <w:spacing w:line="288" w:lineRule="auto"/>
        <w:ind w:firstLine="630"/>
        <w:rPr>
          <w:rFonts w:ascii="仿宋" w:hAnsi="仿宋" w:eastAsia="仿宋"/>
          <w:color w:val="000000"/>
          <w:kern w:val="0"/>
          <w:sz w:val="28"/>
          <w:szCs w:val="28"/>
        </w:rPr>
      </w:pPr>
      <w:r>
        <w:rPr>
          <w:rFonts w:hint="eastAsia" w:ascii="仿宋" w:hAnsi="仿宋" w:eastAsia="仿宋"/>
          <w:color w:val="000000"/>
          <w:sz w:val="28"/>
          <w:szCs w:val="28"/>
        </w:rPr>
        <w:t>磋商小组各位评审对投标单位资质（带原件）、响应文件进行初审，</w:t>
      </w:r>
      <w:r>
        <w:rPr>
          <w:rFonts w:hint="eastAsia" w:ascii="仿宋" w:hAnsi="仿宋" w:eastAsia="仿宋"/>
          <w:color w:val="000000"/>
          <w:kern w:val="0"/>
          <w:sz w:val="28"/>
          <w:szCs w:val="28"/>
        </w:rPr>
        <w:t>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pPr>
        <w:overflowPunct w:val="0"/>
        <w:spacing w:line="288"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各供应商代表身份真实性无法确定或供应商资质预审不合格的，不得参与本项目的竞争性磋商。响应文件不符合采购文件要求的，谈判小组集体协商决定处置情况，可允许供应商进行更正补救或取消该供应商谈判资格。</w:t>
      </w:r>
    </w:p>
    <w:p>
      <w:pPr>
        <w:overflowPunct w:val="0"/>
        <w:spacing w:line="288"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2、谈判</w:t>
      </w:r>
    </w:p>
    <w:p>
      <w:pPr>
        <w:pStyle w:val="6"/>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磋商小组对响应文件响应情况、报价、企业资质与业绩、执行合同能力等方面进行全面比较与评价，了解和掌握各实质性响应供应商的响应程度，进行项目谈判准备。</w:t>
      </w:r>
    </w:p>
    <w:p>
      <w:pPr>
        <w:pStyle w:val="6"/>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通过投标商先后按时到场顺序确定参加谈判供应商的谈判顺序，所有磋商小组成员集体与每位供应商分别进行单独谈判，谈判轮次由小组成员视情况而定。</w:t>
      </w:r>
    </w:p>
    <w:p>
      <w:pPr>
        <w:pStyle w:val="6"/>
        <w:numPr>
          <w:ilvl w:val="0"/>
          <w:numId w:val="1"/>
        </w:numPr>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评标原则</w:t>
      </w:r>
    </w:p>
    <w:p>
      <w:pPr>
        <w:overflowPunct w:val="0"/>
        <w:adjustRightInd w:val="0"/>
        <w:snapToGrid w:val="0"/>
        <w:spacing w:line="288" w:lineRule="auto"/>
        <w:ind w:right="-10" w:firstLine="490" w:firstLineChars="175"/>
        <w:rPr>
          <w:rFonts w:ascii="仿宋" w:hAnsi="仿宋" w:eastAsia="仿宋"/>
          <w:color w:val="000000"/>
          <w:kern w:val="0"/>
          <w:sz w:val="28"/>
          <w:szCs w:val="28"/>
        </w:rPr>
      </w:pPr>
      <w:r>
        <w:rPr>
          <w:rFonts w:hint="eastAsia" w:ascii="仿宋" w:hAnsi="仿宋" w:eastAsia="仿宋"/>
          <w:color w:val="000000"/>
          <w:kern w:val="0"/>
          <w:sz w:val="28"/>
          <w:szCs w:val="28"/>
        </w:rPr>
        <w:t>本项目</w:t>
      </w:r>
      <w:r>
        <w:rPr>
          <w:rFonts w:ascii="仿宋" w:hAnsi="仿宋" w:eastAsia="仿宋"/>
          <w:color w:val="000000"/>
          <w:kern w:val="0"/>
          <w:sz w:val="28"/>
          <w:szCs w:val="28"/>
        </w:rPr>
        <w:t>采用</w:t>
      </w:r>
      <w:r>
        <w:rPr>
          <w:rFonts w:hint="eastAsia" w:ascii="仿宋" w:hAnsi="仿宋" w:eastAsia="仿宋"/>
          <w:b/>
          <w:bCs/>
          <w:color w:val="000000" w:themeColor="text1"/>
          <w:kern w:val="0"/>
          <w:sz w:val="32"/>
          <w:szCs w:val="28"/>
          <w:u w:val="single"/>
        </w:rPr>
        <w:t>综合评分</w:t>
      </w:r>
      <w:r>
        <w:rPr>
          <w:rFonts w:ascii="仿宋" w:hAnsi="仿宋" w:eastAsia="仿宋"/>
          <w:b/>
          <w:bCs/>
          <w:color w:val="000000" w:themeColor="text1"/>
          <w:kern w:val="0"/>
          <w:sz w:val="32"/>
          <w:szCs w:val="28"/>
          <w:u w:val="single"/>
        </w:rPr>
        <w:t>法</w:t>
      </w:r>
      <w:r>
        <w:rPr>
          <w:rFonts w:ascii="仿宋" w:hAnsi="仿宋" w:eastAsia="仿宋"/>
          <w:color w:val="000000"/>
          <w:kern w:val="0"/>
          <w:sz w:val="28"/>
          <w:szCs w:val="28"/>
        </w:rPr>
        <w:t>进行评标</w:t>
      </w:r>
      <w:r>
        <w:rPr>
          <w:rFonts w:hint="eastAsia" w:ascii="仿宋" w:hAnsi="仿宋" w:eastAsia="仿宋"/>
          <w:color w:val="000000"/>
          <w:kern w:val="0"/>
          <w:sz w:val="28"/>
          <w:szCs w:val="28"/>
        </w:rPr>
        <w:t>（评分表详细见附表）</w:t>
      </w:r>
      <w:r>
        <w:rPr>
          <w:rFonts w:ascii="仿宋" w:hAnsi="仿宋" w:eastAsia="仿宋"/>
          <w:color w:val="000000"/>
          <w:kern w:val="0"/>
          <w:sz w:val="28"/>
          <w:szCs w:val="28"/>
        </w:rPr>
        <w:t>，即在最大限度地满足</w:t>
      </w:r>
      <w:r>
        <w:rPr>
          <w:rFonts w:hint="eastAsia" w:ascii="仿宋" w:hAnsi="仿宋" w:eastAsia="仿宋"/>
          <w:color w:val="000000"/>
          <w:kern w:val="0"/>
          <w:sz w:val="28"/>
          <w:szCs w:val="28"/>
        </w:rPr>
        <w:t>采购</w:t>
      </w:r>
      <w:r>
        <w:rPr>
          <w:rFonts w:ascii="仿宋" w:hAnsi="仿宋" w:eastAsia="仿宋"/>
          <w:color w:val="000000"/>
          <w:kern w:val="0"/>
          <w:sz w:val="28"/>
          <w:szCs w:val="28"/>
        </w:rPr>
        <w:t>文件实质性要求前提下，按照</w:t>
      </w:r>
      <w:r>
        <w:rPr>
          <w:rFonts w:hint="eastAsia" w:ascii="仿宋" w:hAnsi="仿宋" w:eastAsia="仿宋"/>
          <w:color w:val="000000"/>
          <w:kern w:val="0"/>
          <w:sz w:val="28"/>
          <w:szCs w:val="28"/>
        </w:rPr>
        <w:t>采购</w:t>
      </w:r>
      <w:r>
        <w:rPr>
          <w:rFonts w:ascii="仿宋" w:hAnsi="仿宋" w:eastAsia="仿宋"/>
          <w:color w:val="000000"/>
          <w:kern w:val="0"/>
          <w:sz w:val="28"/>
          <w:szCs w:val="28"/>
        </w:rPr>
        <w:t>文件中规定的各项因素进行</w:t>
      </w:r>
      <w:r>
        <w:rPr>
          <w:rFonts w:hint="eastAsia" w:ascii="仿宋" w:hAnsi="仿宋" w:eastAsia="仿宋"/>
          <w:color w:val="000000"/>
          <w:kern w:val="0"/>
          <w:sz w:val="28"/>
          <w:szCs w:val="28"/>
        </w:rPr>
        <w:t>打分</w:t>
      </w:r>
      <w:r>
        <w:rPr>
          <w:rFonts w:ascii="仿宋" w:hAnsi="仿宋" w:eastAsia="仿宋"/>
          <w:color w:val="000000"/>
          <w:kern w:val="0"/>
          <w:sz w:val="28"/>
          <w:szCs w:val="28"/>
        </w:rPr>
        <w:t>评审</w:t>
      </w:r>
      <w:r>
        <w:rPr>
          <w:rFonts w:hint="eastAsia" w:ascii="仿宋" w:hAnsi="仿宋" w:eastAsia="仿宋"/>
          <w:color w:val="000000"/>
          <w:kern w:val="0"/>
          <w:sz w:val="28"/>
          <w:szCs w:val="28"/>
        </w:rPr>
        <w:t>。</w:t>
      </w:r>
    </w:p>
    <w:p>
      <w:pPr>
        <w:overflowPunct w:val="0"/>
        <w:spacing w:line="288" w:lineRule="auto"/>
        <w:ind w:firstLine="560" w:firstLineChars="200"/>
        <w:rPr>
          <w:rFonts w:ascii="仿宋" w:hAnsi="仿宋" w:eastAsia="仿宋"/>
          <w:color w:val="000000"/>
          <w:kern w:val="0"/>
          <w:sz w:val="28"/>
          <w:szCs w:val="28"/>
        </w:rPr>
      </w:pPr>
      <w:r>
        <w:rPr>
          <w:rFonts w:hint="eastAsia" w:ascii="仿宋" w:hAnsi="仿宋" w:eastAsia="仿宋"/>
          <w:color w:val="000000"/>
          <w:kern w:val="0"/>
          <w:sz w:val="28"/>
          <w:szCs w:val="28"/>
        </w:rPr>
        <w:t>（三）确定成交供应商</w:t>
      </w:r>
    </w:p>
    <w:p>
      <w:pPr>
        <w:overflowPunct w:val="0"/>
        <w:spacing w:line="288" w:lineRule="auto"/>
        <w:ind w:firstLine="560" w:firstLineChars="200"/>
        <w:rPr>
          <w:rFonts w:ascii="仿宋" w:hAnsi="仿宋" w:eastAsia="仿宋"/>
          <w:color w:val="000000"/>
          <w:kern w:val="0"/>
          <w:sz w:val="28"/>
          <w:szCs w:val="28"/>
        </w:rPr>
      </w:pPr>
      <w:r>
        <w:rPr>
          <w:rFonts w:hint="eastAsia" w:ascii="仿宋" w:hAnsi="仿宋" w:eastAsia="仿宋"/>
          <w:color w:val="000000"/>
          <w:kern w:val="0"/>
          <w:sz w:val="28"/>
          <w:szCs w:val="28"/>
        </w:rPr>
        <w:t>（1）在满足竞争性磋商文件全部内容的基础上，谈判小组按照综合评分法，评审专家根据实际需求进行打分，平均分最高为中标候选人。分数相同时，业绩多者优先。</w:t>
      </w:r>
    </w:p>
    <w:p>
      <w:pPr>
        <w:pStyle w:val="6"/>
        <w:overflowPunct w:val="0"/>
        <w:spacing w:line="288" w:lineRule="auto"/>
        <w:ind w:firstLine="619" w:firstLineChars="221"/>
        <w:rPr>
          <w:rFonts w:ascii="仿宋" w:hAnsi="仿宋" w:eastAsia="仿宋"/>
          <w:color w:val="000000"/>
          <w:sz w:val="28"/>
          <w:szCs w:val="28"/>
        </w:rPr>
      </w:pPr>
      <w:r>
        <w:rPr>
          <w:rFonts w:hint="eastAsia" w:ascii="仿宋" w:hAnsi="仿宋" w:eastAsia="仿宋"/>
          <w:color w:val="000000"/>
          <w:sz w:val="28"/>
          <w:szCs w:val="28"/>
        </w:rPr>
        <w:t>（2）在谈判结束后，按照谈判小组推荐的中标候选人顺序确定排序第一的投标人为成交供应商，如成交供应商拒绝与采购人签订合同，或签订合同后无法履约的，谈判小组可以取消该供应商的中标资格，按顺序由排在其次的成交候选供应商递补，以此类推。</w:t>
      </w:r>
    </w:p>
    <w:p>
      <w:pPr>
        <w:pStyle w:val="6"/>
        <w:overflowPunct w:val="0"/>
        <w:spacing w:line="288" w:lineRule="auto"/>
        <w:ind w:firstLine="619" w:firstLineChars="221"/>
        <w:rPr>
          <w:rFonts w:ascii="仿宋" w:hAnsi="仿宋" w:eastAsia="仿宋"/>
          <w:color w:val="000000"/>
          <w:sz w:val="28"/>
          <w:szCs w:val="28"/>
        </w:rPr>
      </w:pPr>
    </w:p>
    <w:p>
      <w:pPr>
        <w:pStyle w:val="6"/>
        <w:overflowPunct w:val="0"/>
        <w:spacing w:line="288" w:lineRule="auto"/>
        <w:ind w:firstLine="619" w:firstLineChars="221"/>
        <w:rPr>
          <w:rFonts w:ascii="仿宋" w:hAnsi="仿宋" w:eastAsia="仿宋"/>
          <w:color w:val="000000"/>
          <w:sz w:val="28"/>
          <w:szCs w:val="28"/>
        </w:rPr>
      </w:pPr>
    </w:p>
    <w:p>
      <w:pPr>
        <w:pStyle w:val="6"/>
        <w:overflowPunct w:val="0"/>
        <w:spacing w:line="288" w:lineRule="auto"/>
        <w:ind w:firstLine="619" w:firstLineChars="221"/>
        <w:rPr>
          <w:rFonts w:ascii="仿宋" w:hAnsi="仿宋" w:eastAsia="仿宋"/>
          <w:color w:val="000000"/>
          <w:sz w:val="28"/>
          <w:szCs w:val="28"/>
        </w:rPr>
      </w:pPr>
    </w:p>
    <w:p>
      <w:pPr>
        <w:pStyle w:val="6"/>
        <w:overflowPunct w:val="0"/>
        <w:spacing w:line="288" w:lineRule="auto"/>
        <w:ind w:firstLine="619" w:firstLineChars="221"/>
        <w:rPr>
          <w:rFonts w:ascii="仿宋" w:hAnsi="仿宋" w:eastAsia="仿宋"/>
          <w:color w:val="000000"/>
          <w:sz w:val="28"/>
          <w:szCs w:val="28"/>
        </w:rPr>
      </w:pPr>
    </w:p>
    <w:p>
      <w:pPr>
        <w:pStyle w:val="6"/>
        <w:overflowPunct w:val="0"/>
        <w:spacing w:line="288" w:lineRule="auto"/>
        <w:ind w:firstLine="619" w:firstLineChars="221"/>
        <w:rPr>
          <w:rFonts w:ascii="仿宋" w:hAnsi="仿宋" w:eastAsia="仿宋"/>
          <w:color w:val="000000"/>
          <w:sz w:val="28"/>
          <w:szCs w:val="28"/>
        </w:rPr>
      </w:pPr>
    </w:p>
    <w:p>
      <w:pPr>
        <w:pStyle w:val="6"/>
        <w:overflowPunct w:val="0"/>
        <w:spacing w:line="288" w:lineRule="auto"/>
        <w:ind w:firstLine="619" w:firstLineChars="221"/>
        <w:rPr>
          <w:rFonts w:ascii="仿宋" w:hAnsi="仿宋" w:eastAsia="仿宋"/>
          <w:color w:val="000000"/>
          <w:sz w:val="28"/>
          <w:szCs w:val="28"/>
        </w:rPr>
      </w:pPr>
    </w:p>
    <w:p>
      <w:pPr>
        <w:pStyle w:val="6"/>
        <w:overflowPunct w:val="0"/>
        <w:spacing w:line="288" w:lineRule="auto"/>
        <w:ind w:firstLine="619" w:firstLineChars="221"/>
        <w:rPr>
          <w:rFonts w:ascii="仿宋" w:hAnsi="仿宋" w:eastAsia="仿宋"/>
          <w:color w:val="000000"/>
          <w:sz w:val="28"/>
          <w:szCs w:val="28"/>
        </w:rPr>
      </w:pPr>
    </w:p>
    <w:p>
      <w:pPr>
        <w:pStyle w:val="6"/>
        <w:overflowPunct w:val="0"/>
        <w:spacing w:line="288" w:lineRule="auto"/>
        <w:ind w:firstLine="619" w:firstLineChars="221"/>
        <w:rPr>
          <w:rFonts w:ascii="仿宋" w:hAnsi="仿宋" w:eastAsia="仿宋"/>
          <w:color w:val="000000"/>
          <w:sz w:val="28"/>
          <w:szCs w:val="28"/>
        </w:rPr>
      </w:pPr>
    </w:p>
    <w:p>
      <w:pPr>
        <w:pStyle w:val="6"/>
        <w:overflowPunct w:val="0"/>
        <w:spacing w:line="288" w:lineRule="auto"/>
        <w:ind w:firstLine="619" w:firstLineChars="221"/>
        <w:rPr>
          <w:rFonts w:ascii="仿宋" w:hAnsi="仿宋" w:eastAsia="仿宋"/>
          <w:color w:val="000000"/>
          <w:sz w:val="28"/>
          <w:szCs w:val="28"/>
        </w:rPr>
      </w:pPr>
    </w:p>
    <w:p>
      <w:pPr>
        <w:pStyle w:val="6"/>
        <w:overflowPunct w:val="0"/>
        <w:spacing w:line="288" w:lineRule="auto"/>
        <w:ind w:firstLine="619" w:firstLineChars="221"/>
        <w:rPr>
          <w:rFonts w:ascii="仿宋" w:hAnsi="仿宋" w:eastAsia="仿宋"/>
          <w:color w:val="000000"/>
          <w:sz w:val="28"/>
          <w:szCs w:val="28"/>
        </w:rPr>
      </w:pPr>
    </w:p>
    <w:p>
      <w:pPr>
        <w:pStyle w:val="6"/>
        <w:overflowPunct w:val="0"/>
        <w:spacing w:line="288" w:lineRule="auto"/>
        <w:ind w:firstLine="560" w:firstLineChars="200"/>
        <w:rPr>
          <w:rFonts w:ascii="仿宋" w:hAnsi="仿宋" w:eastAsia="仿宋"/>
          <w:color w:val="000000"/>
          <w:sz w:val="28"/>
          <w:szCs w:val="28"/>
        </w:rPr>
        <w:sectPr>
          <w:headerReference r:id="rId3" w:type="default"/>
          <w:footerReference r:id="rId4" w:type="default"/>
          <w:pgSz w:w="11906" w:h="16838"/>
          <w:pgMar w:top="1134" w:right="1077" w:bottom="1134" w:left="1077" w:header="851" w:footer="992" w:gutter="0"/>
          <w:pgBorders w:display="firstPage" w:offsetFrom="page">
            <w:top w:val="single" w:color="auto" w:sz="4" w:space="24"/>
            <w:left w:val="single" w:color="auto" w:sz="4" w:space="24"/>
            <w:bottom w:val="single" w:color="auto" w:sz="4" w:space="24"/>
            <w:right w:val="single" w:color="auto" w:sz="4" w:space="24"/>
          </w:pgBorders>
          <w:cols w:space="425" w:num="1"/>
          <w:titlePg/>
          <w:docGrid w:type="lines" w:linePitch="312" w:charSpace="0"/>
        </w:sectPr>
      </w:pPr>
    </w:p>
    <w:tbl>
      <w:tblPr>
        <w:tblStyle w:val="16"/>
        <w:tblW w:w="1557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392"/>
        <w:gridCol w:w="3087"/>
        <w:gridCol w:w="1605"/>
        <w:gridCol w:w="1352"/>
        <w:gridCol w:w="1276"/>
        <w:gridCol w:w="1579"/>
        <w:gridCol w:w="1276"/>
        <w:gridCol w:w="1823"/>
        <w:gridCol w:w="1701"/>
        <w:gridCol w:w="850"/>
        <w:gridCol w:w="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61" w:hRule="atLeast"/>
          <w:jc w:val="center"/>
        </w:trPr>
        <w:tc>
          <w:tcPr>
            <w:tcW w:w="15573" w:type="dxa"/>
            <w:gridSpan w:val="11"/>
            <w:tcBorders>
              <w:top w:val="nil"/>
              <w:left w:val="nil"/>
              <w:bottom w:val="single" w:color="auto" w:sz="4" w:space="0"/>
              <w:right w:val="nil"/>
            </w:tcBorders>
            <w:vAlign w:val="center"/>
          </w:tcPr>
          <w:p>
            <w:pPr>
              <w:pStyle w:val="27"/>
              <w:jc w:val="left"/>
              <w:rPr>
                <w:rStyle w:val="14"/>
                <w:b w:val="0"/>
                <w:sz w:val="30"/>
                <w:szCs w:val="30"/>
                <w:lang w:eastAsia="zh-CN"/>
              </w:rPr>
            </w:pPr>
            <w:r>
              <w:rPr>
                <w:rStyle w:val="14"/>
                <w:rFonts w:hint="eastAsia"/>
                <w:b w:val="0"/>
                <w:sz w:val="30"/>
                <w:szCs w:val="30"/>
                <w:lang w:eastAsia="zh-CN"/>
              </w:rPr>
              <w:t>附表：</w:t>
            </w:r>
          </w:p>
          <w:p>
            <w:pPr>
              <w:pStyle w:val="27"/>
              <w:jc w:val="center"/>
              <w:rPr>
                <w:rStyle w:val="14"/>
                <w:sz w:val="30"/>
                <w:szCs w:val="30"/>
              </w:rPr>
            </w:pPr>
            <w:r>
              <w:rPr>
                <w:rStyle w:val="14"/>
                <w:rFonts w:hint="eastAsia"/>
                <w:sz w:val="30"/>
                <w:szCs w:val="30"/>
                <w:lang w:eastAsia="zh-CN"/>
              </w:rPr>
              <w:t>评分</w:t>
            </w:r>
            <w:r>
              <w:rPr>
                <w:rStyle w:val="14"/>
                <w:rFonts w:hint="eastAsia"/>
                <w:sz w:val="30"/>
                <w:szCs w:val="30"/>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02" w:hRule="atLeast"/>
          <w:jc w:val="center"/>
        </w:trPr>
        <w:tc>
          <w:tcPr>
            <w:tcW w:w="392" w:type="dxa"/>
            <w:vMerge w:val="restart"/>
            <w:vAlign w:val="center"/>
          </w:tcPr>
          <w:p>
            <w:pPr>
              <w:rPr>
                <w:b/>
              </w:rPr>
            </w:pPr>
            <w:r>
              <w:rPr>
                <w:rFonts w:hint="eastAsia"/>
                <w:b/>
                <w:sz w:val="24"/>
              </w:rPr>
              <w:t>序号</w:t>
            </w:r>
          </w:p>
        </w:tc>
        <w:tc>
          <w:tcPr>
            <w:tcW w:w="3087" w:type="dxa"/>
            <w:vMerge w:val="restart"/>
            <w:tcBorders>
              <w:tl2br w:val="single" w:color="auto" w:sz="4" w:space="0"/>
            </w:tcBorders>
            <w:vAlign w:val="center"/>
          </w:tcPr>
          <w:p>
            <w:pPr>
              <w:ind w:left="27" w:leftChars="13" w:firstLine="482" w:firstLineChars="200"/>
              <w:rPr>
                <w:b/>
                <w:sz w:val="24"/>
              </w:rPr>
            </w:pPr>
            <w:r>
              <w:rPr>
                <w:rFonts w:hint="eastAsia"/>
                <w:b/>
                <w:sz w:val="24"/>
              </w:rPr>
              <w:t xml:space="preserve">     评分因素</w:t>
            </w:r>
          </w:p>
          <w:p>
            <w:pPr>
              <w:ind w:left="27" w:leftChars="13" w:firstLine="482" w:firstLineChars="200"/>
              <w:rPr>
                <w:b/>
                <w:sz w:val="24"/>
              </w:rPr>
            </w:pPr>
          </w:p>
          <w:p>
            <w:pPr>
              <w:ind w:left="27" w:leftChars="13" w:firstLine="482" w:firstLineChars="200"/>
              <w:rPr>
                <w:b/>
                <w:sz w:val="24"/>
              </w:rPr>
            </w:pPr>
          </w:p>
          <w:p>
            <w:pPr>
              <w:ind w:left="27" w:leftChars="13" w:firstLine="482" w:firstLineChars="200"/>
              <w:rPr>
                <w:b/>
                <w:sz w:val="24"/>
              </w:rPr>
            </w:pPr>
          </w:p>
          <w:p>
            <w:pPr>
              <w:ind w:left="27" w:leftChars="13" w:firstLine="482" w:firstLineChars="200"/>
              <w:rPr>
                <w:b/>
                <w:sz w:val="24"/>
              </w:rPr>
            </w:pPr>
          </w:p>
          <w:p>
            <w:pPr>
              <w:rPr>
                <w:b/>
                <w:sz w:val="24"/>
              </w:rPr>
            </w:pPr>
            <w:r>
              <w:rPr>
                <w:rFonts w:hint="eastAsia"/>
                <w:b/>
                <w:sz w:val="24"/>
              </w:rPr>
              <w:t>供应商名称</w:t>
            </w:r>
          </w:p>
        </w:tc>
        <w:tc>
          <w:tcPr>
            <w:tcW w:w="2957" w:type="dxa"/>
            <w:gridSpan w:val="2"/>
            <w:vAlign w:val="center"/>
          </w:tcPr>
          <w:p>
            <w:pPr>
              <w:jc w:val="center"/>
              <w:rPr>
                <w:b/>
                <w:sz w:val="18"/>
              </w:rPr>
            </w:pPr>
            <w:r>
              <w:rPr>
                <w:rFonts w:hint="eastAsia"/>
                <w:b/>
                <w:sz w:val="18"/>
              </w:rPr>
              <w:t>商务部分</w:t>
            </w:r>
            <w:r>
              <w:rPr>
                <w:rFonts w:hint="eastAsia"/>
                <w:b/>
                <w:bCs/>
                <w:sz w:val="18"/>
              </w:rPr>
              <w:t>20</w:t>
            </w:r>
            <w:r>
              <w:rPr>
                <w:rFonts w:hint="eastAsia"/>
                <w:b/>
                <w:sz w:val="18"/>
              </w:rPr>
              <w:t>分</w:t>
            </w:r>
          </w:p>
        </w:tc>
        <w:tc>
          <w:tcPr>
            <w:tcW w:w="7655" w:type="dxa"/>
            <w:gridSpan w:val="5"/>
            <w:vAlign w:val="center"/>
          </w:tcPr>
          <w:p>
            <w:pPr>
              <w:pStyle w:val="5"/>
              <w:rPr>
                <w:sz w:val="18"/>
              </w:rPr>
            </w:pPr>
            <w:r>
              <w:rPr>
                <w:rFonts w:hint="eastAsia"/>
                <w:sz w:val="18"/>
              </w:rPr>
              <w:t>技术部分</w:t>
            </w:r>
            <w:r>
              <w:rPr>
                <w:rFonts w:hint="eastAsia"/>
                <w:bCs/>
                <w:sz w:val="18"/>
                <w:szCs w:val="24"/>
              </w:rPr>
              <w:t>50</w:t>
            </w:r>
            <w:r>
              <w:rPr>
                <w:rFonts w:hint="eastAsia"/>
                <w:sz w:val="18"/>
              </w:rPr>
              <w:t>分</w:t>
            </w:r>
          </w:p>
        </w:tc>
        <w:tc>
          <w:tcPr>
            <w:tcW w:w="850" w:type="dxa"/>
            <w:vAlign w:val="center"/>
          </w:tcPr>
          <w:p>
            <w:pPr>
              <w:jc w:val="center"/>
              <w:rPr>
                <w:b/>
                <w:w w:val="80"/>
                <w:sz w:val="18"/>
              </w:rPr>
            </w:pPr>
            <w:r>
              <w:rPr>
                <w:rFonts w:hint="eastAsia"/>
                <w:b/>
                <w:w w:val="80"/>
                <w:sz w:val="18"/>
              </w:rPr>
              <w:t>价格30分</w:t>
            </w:r>
          </w:p>
        </w:tc>
        <w:tc>
          <w:tcPr>
            <w:tcW w:w="632" w:type="dxa"/>
            <w:vMerge w:val="restart"/>
            <w:vAlign w:val="center"/>
          </w:tcPr>
          <w:p>
            <w:pPr>
              <w:jc w:val="center"/>
              <w:rPr>
                <w:b/>
                <w:sz w:val="24"/>
              </w:rPr>
            </w:pPr>
            <w:r>
              <w:rPr>
                <w:rFonts w:hint="eastAsia"/>
                <w:b/>
                <w:sz w:val="24"/>
              </w:rPr>
              <w:t>总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56" w:hRule="exact"/>
          <w:jc w:val="center"/>
        </w:trPr>
        <w:tc>
          <w:tcPr>
            <w:tcW w:w="392" w:type="dxa"/>
            <w:vMerge w:val="continue"/>
            <w:vAlign w:val="center"/>
          </w:tcPr>
          <w:p>
            <w:pPr>
              <w:rPr>
                <w:bCs/>
              </w:rPr>
            </w:pPr>
          </w:p>
        </w:tc>
        <w:tc>
          <w:tcPr>
            <w:tcW w:w="3087" w:type="dxa"/>
            <w:vMerge w:val="continue"/>
            <w:tcBorders>
              <w:tl2br w:val="single" w:color="auto" w:sz="4" w:space="0"/>
            </w:tcBorders>
            <w:vAlign w:val="center"/>
          </w:tcPr>
          <w:p>
            <w:pPr>
              <w:ind w:firstLine="1260" w:firstLineChars="600"/>
              <w:rPr>
                <w:bCs/>
              </w:rPr>
            </w:pPr>
          </w:p>
        </w:tc>
        <w:tc>
          <w:tcPr>
            <w:tcW w:w="1605" w:type="dxa"/>
            <w:vAlign w:val="center"/>
          </w:tcPr>
          <w:p>
            <w:pPr>
              <w:spacing w:line="200" w:lineRule="exact"/>
              <w:jc w:val="center"/>
              <w:rPr>
                <w:bCs/>
                <w:sz w:val="15"/>
              </w:rPr>
            </w:pPr>
            <w:r>
              <w:rPr>
                <w:rFonts w:hint="eastAsia"/>
                <w:bCs/>
                <w:sz w:val="15"/>
              </w:rPr>
              <w:t>投标人业绩情况10分</w:t>
            </w:r>
          </w:p>
        </w:tc>
        <w:tc>
          <w:tcPr>
            <w:tcW w:w="1352" w:type="dxa"/>
            <w:vAlign w:val="center"/>
          </w:tcPr>
          <w:p>
            <w:pPr>
              <w:spacing w:line="200" w:lineRule="exact"/>
              <w:jc w:val="center"/>
              <w:rPr>
                <w:bCs/>
                <w:sz w:val="15"/>
              </w:rPr>
            </w:pPr>
            <w:r>
              <w:rPr>
                <w:rFonts w:hint="eastAsia"/>
                <w:bCs/>
                <w:sz w:val="15"/>
              </w:rPr>
              <w:t>拟派员工情况10分</w:t>
            </w:r>
          </w:p>
        </w:tc>
        <w:tc>
          <w:tcPr>
            <w:tcW w:w="1276" w:type="dxa"/>
            <w:vAlign w:val="center"/>
          </w:tcPr>
          <w:p>
            <w:pPr>
              <w:spacing w:line="200" w:lineRule="exact"/>
              <w:jc w:val="center"/>
              <w:rPr>
                <w:bCs/>
                <w:sz w:val="15"/>
              </w:rPr>
            </w:pPr>
            <w:r>
              <w:rPr>
                <w:rFonts w:hint="eastAsia"/>
                <w:bCs/>
                <w:sz w:val="15"/>
              </w:rPr>
              <w:t>服务整体服务设想及策划10分</w:t>
            </w:r>
          </w:p>
        </w:tc>
        <w:tc>
          <w:tcPr>
            <w:tcW w:w="1579" w:type="dxa"/>
            <w:vAlign w:val="center"/>
          </w:tcPr>
          <w:p>
            <w:pPr>
              <w:spacing w:line="200" w:lineRule="exact"/>
              <w:jc w:val="center"/>
              <w:rPr>
                <w:bCs/>
                <w:sz w:val="15"/>
              </w:rPr>
            </w:pPr>
            <w:r>
              <w:rPr>
                <w:rFonts w:hint="eastAsia"/>
                <w:bCs/>
                <w:sz w:val="15"/>
              </w:rPr>
              <w:t>管理服务方案10分</w:t>
            </w:r>
          </w:p>
        </w:tc>
        <w:tc>
          <w:tcPr>
            <w:tcW w:w="1276" w:type="dxa"/>
            <w:vAlign w:val="center"/>
          </w:tcPr>
          <w:p>
            <w:pPr>
              <w:spacing w:line="200" w:lineRule="exact"/>
              <w:jc w:val="center"/>
              <w:rPr>
                <w:bCs/>
                <w:sz w:val="15"/>
              </w:rPr>
            </w:pPr>
            <w:r>
              <w:rPr>
                <w:rFonts w:hint="eastAsia"/>
                <w:bCs/>
                <w:sz w:val="15"/>
              </w:rPr>
              <w:t>管理规章制度</w:t>
            </w:r>
          </w:p>
          <w:p>
            <w:pPr>
              <w:spacing w:line="200" w:lineRule="exact"/>
              <w:jc w:val="center"/>
              <w:rPr>
                <w:bCs/>
                <w:sz w:val="15"/>
              </w:rPr>
            </w:pPr>
            <w:r>
              <w:rPr>
                <w:rFonts w:hint="eastAsia"/>
                <w:bCs/>
                <w:sz w:val="15"/>
              </w:rPr>
              <w:t>10分</w:t>
            </w:r>
          </w:p>
        </w:tc>
        <w:tc>
          <w:tcPr>
            <w:tcW w:w="1823" w:type="dxa"/>
            <w:vAlign w:val="center"/>
          </w:tcPr>
          <w:p>
            <w:pPr>
              <w:spacing w:line="200" w:lineRule="exact"/>
              <w:jc w:val="center"/>
              <w:rPr>
                <w:bCs/>
                <w:sz w:val="15"/>
              </w:rPr>
            </w:pPr>
            <w:r>
              <w:rPr>
                <w:rFonts w:hint="eastAsia"/>
                <w:bCs/>
                <w:sz w:val="15"/>
              </w:rPr>
              <w:t>响应文件质量</w:t>
            </w:r>
          </w:p>
          <w:p>
            <w:pPr>
              <w:spacing w:line="200" w:lineRule="exact"/>
              <w:jc w:val="center"/>
              <w:rPr>
                <w:bCs/>
                <w:sz w:val="15"/>
              </w:rPr>
            </w:pPr>
            <w:r>
              <w:rPr>
                <w:rFonts w:hint="eastAsia"/>
                <w:bCs/>
                <w:sz w:val="15"/>
              </w:rPr>
              <w:t>10分</w:t>
            </w:r>
          </w:p>
        </w:tc>
        <w:tc>
          <w:tcPr>
            <w:tcW w:w="1701" w:type="dxa"/>
            <w:vAlign w:val="center"/>
          </w:tcPr>
          <w:p>
            <w:pPr>
              <w:spacing w:line="200" w:lineRule="exact"/>
              <w:jc w:val="center"/>
              <w:rPr>
                <w:bCs/>
                <w:sz w:val="15"/>
              </w:rPr>
            </w:pPr>
            <w:r>
              <w:rPr>
                <w:rFonts w:hint="eastAsia"/>
                <w:bCs/>
                <w:sz w:val="15"/>
              </w:rPr>
              <w:t>应急措施</w:t>
            </w:r>
          </w:p>
          <w:p>
            <w:pPr>
              <w:spacing w:line="200" w:lineRule="exact"/>
              <w:jc w:val="center"/>
              <w:rPr>
                <w:bCs/>
                <w:sz w:val="15"/>
              </w:rPr>
            </w:pPr>
            <w:r>
              <w:rPr>
                <w:rFonts w:hint="eastAsia"/>
                <w:bCs/>
                <w:sz w:val="15"/>
              </w:rPr>
              <w:t>10分</w:t>
            </w:r>
          </w:p>
        </w:tc>
        <w:tc>
          <w:tcPr>
            <w:tcW w:w="850" w:type="dxa"/>
            <w:vMerge w:val="restart"/>
            <w:vAlign w:val="center"/>
          </w:tcPr>
          <w:p>
            <w:pPr>
              <w:spacing w:line="200" w:lineRule="exact"/>
              <w:jc w:val="center"/>
              <w:rPr>
                <w:bCs/>
                <w:sz w:val="15"/>
              </w:rPr>
            </w:pPr>
            <w:r>
              <w:rPr>
                <w:rFonts w:hint="eastAsia"/>
                <w:bCs/>
                <w:sz w:val="15"/>
              </w:rPr>
              <w:t>满足采购文件要求且投报价格最低的为评标基准价。投报价格得分＝（评标基准价/投报价格）＊</w:t>
            </w:r>
            <w:r>
              <w:rPr>
                <w:rFonts w:hint="eastAsia"/>
                <w:bCs/>
                <w:sz w:val="15"/>
                <w:u w:val="single"/>
              </w:rPr>
              <w:t xml:space="preserve"> 30</w:t>
            </w:r>
            <w:r>
              <w:rPr>
                <w:rFonts w:hint="eastAsia"/>
                <w:bCs/>
                <w:sz w:val="15"/>
              </w:rPr>
              <w:t>，留两位小数</w:t>
            </w:r>
          </w:p>
        </w:tc>
        <w:tc>
          <w:tcPr>
            <w:tcW w:w="632" w:type="dxa"/>
            <w:vMerge w:val="continue"/>
            <w:vAlign w:val="center"/>
          </w:tcPr>
          <w:p>
            <w:pPr>
              <w:jc w:val="cente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1820" w:hRule="atLeast"/>
          <w:jc w:val="center"/>
        </w:trPr>
        <w:tc>
          <w:tcPr>
            <w:tcW w:w="392" w:type="dxa"/>
            <w:vMerge w:val="continue"/>
            <w:vAlign w:val="center"/>
          </w:tcPr>
          <w:p>
            <w:pPr>
              <w:rPr>
                <w:b/>
              </w:rPr>
            </w:pPr>
          </w:p>
        </w:tc>
        <w:tc>
          <w:tcPr>
            <w:tcW w:w="3087" w:type="dxa"/>
            <w:vMerge w:val="continue"/>
            <w:tcBorders>
              <w:tl2br w:val="single" w:color="auto" w:sz="4" w:space="0"/>
            </w:tcBorders>
            <w:vAlign w:val="center"/>
          </w:tcPr>
          <w:p>
            <w:pPr>
              <w:ind w:firstLine="1265" w:firstLineChars="600"/>
              <w:rPr>
                <w:b/>
              </w:rPr>
            </w:pPr>
          </w:p>
        </w:tc>
        <w:tc>
          <w:tcPr>
            <w:tcW w:w="1605" w:type="dxa"/>
            <w:vAlign w:val="center"/>
          </w:tcPr>
          <w:p>
            <w:pPr>
              <w:spacing w:line="240" w:lineRule="exact"/>
              <w:rPr>
                <w:sz w:val="15"/>
              </w:rPr>
            </w:pPr>
            <w:r>
              <w:rPr>
                <w:rFonts w:hint="eastAsia" w:hAnsi="宋体"/>
                <w:sz w:val="15"/>
              </w:rPr>
              <w:t>供应商具有2014年之后签订的正在服务的合同金额30万以上的类似劳务派遣业绩的，提供业绩合同。每有一个得5分，最高得10分；</w:t>
            </w:r>
          </w:p>
          <w:p>
            <w:pPr>
              <w:spacing w:line="240" w:lineRule="exact"/>
              <w:rPr>
                <w:sz w:val="15"/>
              </w:rPr>
            </w:pPr>
          </w:p>
        </w:tc>
        <w:tc>
          <w:tcPr>
            <w:tcW w:w="1352" w:type="dxa"/>
            <w:vAlign w:val="center"/>
          </w:tcPr>
          <w:p>
            <w:pPr>
              <w:spacing w:line="240" w:lineRule="exact"/>
              <w:rPr>
                <w:rFonts w:hAnsi="宋体"/>
                <w:sz w:val="15"/>
              </w:rPr>
            </w:pPr>
            <w:r>
              <w:rPr>
                <w:rFonts w:hint="eastAsia" w:hAnsi="宋体"/>
                <w:sz w:val="15"/>
              </w:rPr>
              <w:t>1.拟派保洁员工具有清洁管理师证书的，每有1个得2分，最高得4分。</w:t>
            </w:r>
          </w:p>
          <w:p>
            <w:pPr>
              <w:spacing w:line="240" w:lineRule="exact"/>
              <w:rPr>
                <w:rFonts w:hAnsi="宋体"/>
                <w:sz w:val="15"/>
              </w:rPr>
            </w:pPr>
            <w:r>
              <w:rPr>
                <w:rFonts w:hint="eastAsia" w:hAnsi="宋体"/>
                <w:sz w:val="15"/>
              </w:rPr>
              <w:t>2.拟派保安员工具有保安员证书的，每有1个得2分，最高得6分。</w:t>
            </w:r>
          </w:p>
          <w:p>
            <w:pPr>
              <w:pStyle w:val="11"/>
            </w:pPr>
          </w:p>
        </w:tc>
        <w:tc>
          <w:tcPr>
            <w:tcW w:w="1276" w:type="dxa"/>
            <w:vAlign w:val="center"/>
          </w:tcPr>
          <w:p>
            <w:pPr>
              <w:spacing w:line="240" w:lineRule="exact"/>
              <w:jc w:val="left"/>
              <w:rPr>
                <w:rFonts w:hAnsi="宋体"/>
                <w:sz w:val="15"/>
              </w:rPr>
            </w:pPr>
            <w:r>
              <w:rPr>
                <w:rFonts w:hint="eastAsia" w:ascii="Times New Roman" w:hAnsi="宋体" w:cs="Times New Roman"/>
                <w:sz w:val="15"/>
              </w:rPr>
              <w:t>根据</w:t>
            </w:r>
            <w:r>
              <w:rPr>
                <w:rFonts w:hint="eastAsia" w:hAnsi="宋体"/>
                <w:sz w:val="15"/>
              </w:rPr>
              <w:t>整体服务设想及策划考虑全面，不漏项，专业性、系统性强，操作可行</w:t>
            </w:r>
            <w:r>
              <w:rPr>
                <w:rFonts w:hint="eastAsia" w:ascii="Times New Roman" w:hAnsi="宋体" w:cs="Times New Roman"/>
                <w:sz w:val="15"/>
              </w:rPr>
              <w:t>情况评判。</w:t>
            </w:r>
          </w:p>
          <w:p>
            <w:pPr>
              <w:spacing w:line="240" w:lineRule="exact"/>
              <w:jc w:val="left"/>
              <w:rPr>
                <w:sz w:val="15"/>
              </w:rPr>
            </w:pPr>
            <w:r>
              <w:rPr>
                <w:rFonts w:hint="eastAsia" w:hAnsi="宋体"/>
                <w:sz w:val="15"/>
              </w:rPr>
              <w:t>优：</w:t>
            </w:r>
            <w:r>
              <w:rPr>
                <w:rFonts w:hint="eastAsia"/>
                <w:sz w:val="15"/>
              </w:rPr>
              <w:t>7-10</w:t>
            </w:r>
            <w:r>
              <w:rPr>
                <w:rFonts w:hint="eastAsia" w:hAnsi="宋体"/>
                <w:sz w:val="15"/>
              </w:rPr>
              <w:t>分</w:t>
            </w:r>
          </w:p>
          <w:p>
            <w:pPr>
              <w:spacing w:line="240" w:lineRule="exact"/>
              <w:jc w:val="left"/>
              <w:rPr>
                <w:sz w:val="15"/>
              </w:rPr>
            </w:pPr>
            <w:r>
              <w:rPr>
                <w:rFonts w:hint="eastAsia" w:hAnsi="宋体"/>
                <w:sz w:val="15"/>
              </w:rPr>
              <w:t>良：</w:t>
            </w:r>
            <w:r>
              <w:rPr>
                <w:rFonts w:hint="eastAsia"/>
                <w:sz w:val="15"/>
              </w:rPr>
              <w:t>3-6</w:t>
            </w:r>
            <w:r>
              <w:rPr>
                <w:rFonts w:hint="eastAsia" w:hAnsi="宋体"/>
                <w:sz w:val="15"/>
              </w:rPr>
              <w:t>分</w:t>
            </w:r>
          </w:p>
          <w:p>
            <w:pPr>
              <w:spacing w:line="240" w:lineRule="exact"/>
              <w:jc w:val="left"/>
              <w:rPr>
                <w:sz w:val="15"/>
              </w:rPr>
            </w:pPr>
            <w:r>
              <w:rPr>
                <w:rFonts w:hint="eastAsia" w:hAnsi="宋体"/>
                <w:sz w:val="15"/>
              </w:rPr>
              <w:t>差：</w:t>
            </w:r>
            <w:r>
              <w:rPr>
                <w:rFonts w:hint="eastAsia"/>
                <w:sz w:val="15"/>
              </w:rPr>
              <w:t>3</w:t>
            </w:r>
            <w:r>
              <w:rPr>
                <w:rFonts w:hint="eastAsia" w:hAnsi="宋体"/>
                <w:sz w:val="15"/>
              </w:rPr>
              <w:t>分以下</w:t>
            </w:r>
          </w:p>
        </w:tc>
        <w:tc>
          <w:tcPr>
            <w:tcW w:w="1579" w:type="dxa"/>
            <w:vAlign w:val="center"/>
          </w:tcPr>
          <w:p>
            <w:pPr>
              <w:spacing w:line="240" w:lineRule="exact"/>
              <w:jc w:val="left"/>
              <w:rPr>
                <w:rFonts w:hAnsi="宋体"/>
                <w:sz w:val="15"/>
              </w:rPr>
            </w:pPr>
            <w:r>
              <w:rPr>
                <w:rFonts w:hint="eastAsia" w:ascii="Times New Roman" w:hAnsi="宋体" w:cs="Times New Roman"/>
                <w:sz w:val="15"/>
              </w:rPr>
              <w:t>根据物业管理方案符合磋商文件要求，考虑全面，不漏项，专业性、系统性强，操作可行；管理方案有关论述条理清晰，要有整体实施方案、对用户需求的理解、项目关键点分析，全面充分实在可行情况评判。</w:t>
            </w:r>
          </w:p>
          <w:p>
            <w:pPr>
              <w:spacing w:line="240" w:lineRule="exact"/>
              <w:jc w:val="left"/>
              <w:rPr>
                <w:sz w:val="15"/>
              </w:rPr>
            </w:pPr>
            <w:r>
              <w:rPr>
                <w:rFonts w:hint="eastAsia" w:hAnsi="宋体"/>
                <w:sz w:val="15"/>
              </w:rPr>
              <w:t>优：</w:t>
            </w:r>
            <w:r>
              <w:rPr>
                <w:rFonts w:hint="eastAsia"/>
                <w:sz w:val="15"/>
              </w:rPr>
              <w:t>7-10</w:t>
            </w:r>
            <w:r>
              <w:rPr>
                <w:rFonts w:hint="eastAsia" w:hAnsi="宋体"/>
                <w:sz w:val="15"/>
              </w:rPr>
              <w:t>分</w:t>
            </w:r>
          </w:p>
          <w:p>
            <w:pPr>
              <w:spacing w:line="240" w:lineRule="exact"/>
              <w:jc w:val="left"/>
              <w:rPr>
                <w:sz w:val="15"/>
              </w:rPr>
            </w:pPr>
            <w:r>
              <w:rPr>
                <w:rFonts w:hint="eastAsia" w:hAnsi="宋体"/>
                <w:sz w:val="15"/>
              </w:rPr>
              <w:t>良：</w:t>
            </w:r>
            <w:r>
              <w:rPr>
                <w:rFonts w:hint="eastAsia"/>
                <w:sz w:val="15"/>
              </w:rPr>
              <w:t>3-6</w:t>
            </w:r>
            <w:r>
              <w:rPr>
                <w:rFonts w:hint="eastAsia" w:hAnsi="宋体"/>
                <w:sz w:val="15"/>
              </w:rPr>
              <w:t>分</w:t>
            </w:r>
          </w:p>
          <w:p>
            <w:pPr>
              <w:spacing w:line="240" w:lineRule="exact"/>
              <w:jc w:val="left"/>
            </w:pPr>
            <w:r>
              <w:rPr>
                <w:rFonts w:hint="eastAsia" w:hAnsi="宋体"/>
                <w:sz w:val="15"/>
              </w:rPr>
              <w:t>差：</w:t>
            </w:r>
            <w:r>
              <w:rPr>
                <w:rFonts w:hint="eastAsia"/>
                <w:sz w:val="15"/>
              </w:rPr>
              <w:t>3</w:t>
            </w:r>
            <w:r>
              <w:rPr>
                <w:rFonts w:hint="eastAsia" w:hAnsi="宋体"/>
                <w:sz w:val="15"/>
              </w:rPr>
              <w:t>分以下</w:t>
            </w:r>
          </w:p>
        </w:tc>
        <w:tc>
          <w:tcPr>
            <w:tcW w:w="1276" w:type="dxa"/>
            <w:vAlign w:val="center"/>
          </w:tcPr>
          <w:p>
            <w:pPr>
              <w:spacing w:line="240" w:lineRule="exact"/>
              <w:jc w:val="left"/>
              <w:rPr>
                <w:rFonts w:hAnsi="宋体"/>
                <w:sz w:val="15"/>
              </w:rPr>
            </w:pPr>
            <w:r>
              <w:rPr>
                <w:rFonts w:hint="eastAsia" w:ascii="Times New Roman" w:hAnsi="宋体" w:cs="Times New Roman"/>
                <w:sz w:val="15"/>
              </w:rPr>
              <w:t>根据</w:t>
            </w:r>
            <w:r>
              <w:rPr>
                <w:rFonts w:hint="eastAsia" w:hAnsi="宋体"/>
                <w:sz w:val="15"/>
              </w:rPr>
              <w:t>管理规章制度齐全、合理、切实可行</w:t>
            </w:r>
            <w:r>
              <w:rPr>
                <w:rFonts w:hint="eastAsia" w:ascii="Times New Roman" w:hAnsi="宋体" w:cs="Times New Roman"/>
                <w:sz w:val="15"/>
              </w:rPr>
              <w:t>情况评判。</w:t>
            </w:r>
          </w:p>
          <w:p>
            <w:pPr>
              <w:spacing w:line="240" w:lineRule="exact"/>
              <w:jc w:val="left"/>
              <w:rPr>
                <w:sz w:val="15"/>
              </w:rPr>
            </w:pPr>
            <w:r>
              <w:rPr>
                <w:rFonts w:hint="eastAsia" w:hAnsi="宋体"/>
                <w:sz w:val="15"/>
              </w:rPr>
              <w:t>优：</w:t>
            </w:r>
            <w:r>
              <w:rPr>
                <w:rFonts w:hint="eastAsia"/>
                <w:sz w:val="15"/>
              </w:rPr>
              <w:t>7-10</w:t>
            </w:r>
            <w:r>
              <w:rPr>
                <w:rFonts w:hint="eastAsia" w:hAnsi="宋体"/>
                <w:sz w:val="15"/>
              </w:rPr>
              <w:t>分</w:t>
            </w:r>
          </w:p>
          <w:p>
            <w:pPr>
              <w:spacing w:line="240" w:lineRule="exact"/>
              <w:jc w:val="left"/>
              <w:rPr>
                <w:sz w:val="15"/>
              </w:rPr>
            </w:pPr>
            <w:r>
              <w:rPr>
                <w:rFonts w:hint="eastAsia" w:hAnsi="宋体"/>
                <w:sz w:val="15"/>
              </w:rPr>
              <w:t>良：</w:t>
            </w:r>
            <w:r>
              <w:rPr>
                <w:rFonts w:hint="eastAsia"/>
                <w:sz w:val="15"/>
              </w:rPr>
              <w:t>3-6</w:t>
            </w:r>
            <w:r>
              <w:rPr>
                <w:rFonts w:hint="eastAsia" w:hAnsi="宋体"/>
                <w:sz w:val="15"/>
              </w:rPr>
              <w:t>分</w:t>
            </w:r>
          </w:p>
          <w:p>
            <w:pPr>
              <w:spacing w:line="240" w:lineRule="exact"/>
              <w:jc w:val="left"/>
              <w:rPr>
                <w:sz w:val="15"/>
              </w:rPr>
            </w:pPr>
            <w:r>
              <w:rPr>
                <w:rFonts w:hint="eastAsia" w:hAnsi="宋体"/>
                <w:sz w:val="15"/>
              </w:rPr>
              <w:t>差：</w:t>
            </w:r>
            <w:r>
              <w:rPr>
                <w:rFonts w:hint="eastAsia"/>
                <w:sz w:val="15"/>
              </w:rPr>
              <w:t>3</w:t>
            </w:r>
            <w:r>
              <w:rPr>
                <w:rFonts w:hint="eastAsia" w:hAnsi="宋体"/>
                <w:sz w:val="15"/>
              </w:rPr>
              <w:t>分以下</w:t>
            </w:r>
          </w:p>
        </w:tc>
        <w:tc>
          <w:tcPr>
            <w:tcW w:w="1823" w:type="dxa"/>
            <w:vAlign w:val="center"/>
          </w:tcPr>
          <w:p>
            <w:pPr>
              <w:spacing w:line="240" w:lineRule="exact"/>
              <w:jc w:val="left"/>
              <w:rPr>
                <w:sz w:val="15"/>
              </w:rPr>
            </w:pPr>
            <w:r>
              <w:rPr>
                <w:rFonts w:hint="eastAsia"/>
                <w:sz w:val="15"/>
              </w:rPr>
              <w:t>根据投标人制定的本项目特点，制定非常完善且全面，全方位的质量监控措施，并具有很好的可行性，同时体现层级监控关注的重点</w:t>
            </w:r>
            <w:r>
              <w:rPr>
                <w:rFonts w:hint="eastAsia" w:ascii="Times New Roman" w:hAnsi="宋体" w:cs="Times New Roman"/>
                <w:sz w:val="15"/>
              </w:rPr>
              <w:t>情况评判。</w:t>
            </w:r>
          </w:p>
          <w:p>
            <w:pPr>
              <w:spacing w:line="240" w:lineRule="exact"/>
              <w:jc w:val="left"/>
              <w:rPr>
                <w:sz w:val="15"/>
              </w:rPr>
            </w:pPr>
            <w:r>
              <w:rPr>
                <w:rFonts w:hint="eastAsia" w:hAnsi="宋体"/>
                <w:sz w:val="15"/>
              </w:rPr>
              <w:t>优：</w:t>
            </w:r>
            <w:r>
              <w:rPr>
                <w:rFonts w:hint="eastAsia"/>
                <w:sz w:val="15"/>
              </w:rPr>
              <w:t>7-10</w:t>
            </w:r>
            <w:r>
              <w:rPr>
                <w:rFonts w:hint="eastAsia" w:hAnsi="宋体"/>
                <w:sz w:val="15"/>
              </w:rPr>
              <w:t>分</w:t>
            </w:r>
          </w:p>
          <w:p>
            <w:pPr>
              <w:spacing w:line="240" w:lineRule="exact"/>
              <w:jc w:val="left"/>
              <w:rPr>
                <w:sz w:val="15"/>
              </w:rPr>
            </w:pPr>
            <w:r>
              <w:rPr>
                <w:rFonts w:hint="eastAsia" w:hAnsi="宋体"/>
                <w:sz w:val="15"/>
              </w:rPr>
              <w:t>良：</w:t>
            </w:r>
            <w:r>
              <w:rPr>
                <w:rFonts w:hint="eastAsia"/>
                <w:sz w:val="15"/>
              </w:rPr>
              <w:t>3-6</w:t>
            </w:r>
            <w:r>
              <w:rPr>
                <w:rFonts w:hint="eastAsia" w:hAnsi="宋体"/>
                <w:sz w:val="15"/>
              </w:rPr>
              <w:t>分</w:t>
            </w:r>
          </w:p>
          <w:p>
            <w:pPr>
              <w:spacing w:line="240" w:lineRule="exact"/>
              <w:jc w:val="left"/>
              <w:rPr>
                <w:sz w:val="15"/>
              </w:rPr>
            </w:pPr>
            <w:r>
              <w:rPr>
                <w:rFonts w:hint="eastAsia" w:hAnsi="宋体"/>
                <w:sz w:val="15"/>
              </w:rPr>
              <w:t>差：</w:t>
            </w:r>
            <w:r>
              <w:rPr>
                <w:rFonts w:hint="eastAsia"/>
                <w:sz w:val="15"/>
              </w:rPr>
              <w:t>3</w:t>
            </w:r>
            <w:r>
              <w:rPr>
                <w:rFonts w:hint="eastAsia" w:hAnsi="宋体"/>
                <w:sz w:val="15"/>
              </w:rPr>
              <w:t>分以下</w:t>
            </w:r>
          </w:p>
        </w:tc>
        <w:tc>
          <w:tcPr>
            <w:tcW w:w="1701" w:type="dxa"/>
            <w:vAlign w:val="center"/>
          </w:tcPr>
          <w:p>
            <w:pPr>
              <w:spacing w:line="240" w:lineRule="exact"/>
              <w:jc w:val="left"/>
              <w:rPr>
                <w:sz w:val="15"/>
              </w:rPr>
            </w:pPr>
            <w:r>
              <w:rPr>
                <w:rFonts w:hint="eastAsia" w:hAnsi="宋体"/>
                <w:sz w:val="15"/>
              </w:rPr>
              <w:t>根据本项目特点，制定非常完善且全面，可行的突发事件应急处理措施</w:t>
            </w:r>
            <w:r>
              <w:rPr>
                <w:rFonts w:hint="eastAsia" w:ascii="Times New Roman" w:hAnsi="宋体" w:cs="Times New Roman"/>
                <w:sz w:val="15"/>
              </w:rPr>
              <w:t>情况评判。</w:t>
            </w:r>
          </w:p>
          <w:p>
            <w:pPr>
              <w:spacing w:line="240" w:lineRule="exact"/>
              <w:jc w:val="left"/>
              <w:rPr>
                <w:sz w:val="15"/>
              </w:rPr>
            </w:pPr>
            <w:r>
              <w:rPr>
                <w:rFonts w:hint="eastAsia" w:hAnsi="宋体"/>
                <w:sz w:val="15"/>
              </w:rPr>
              <w:t>优：</w:t>
            </w:r>
            <w:r>
              <w:rPr>
                <w:rFonts w:hint="eastAsia"/>
                <w:sz w:val="15"/>
              </w:rPr>
              <w:t>7-10</w:t>
            </w:r>
            <w:r>
              <w:rPr>
                <w:rFonts w:hint="eastAsia" w:hAnsi="宋体"/>
                <w:sz w:val="15"/>
              </w:rPr>
              <w:t>分</w:t>
            </w:r>
          </w:p>
          <w:p>
            <w:pPr>
              <w:spacing w:line="240" w:lineRule="exact"/>
              <w:jc w:val="left"/>
              <w:rPr>
                <w:sz w:val="15"/>
              </w:rPr>
            </w:pPr>
            <w:r>
              <w:rPr>
                <w:rFonts w:hint="eastAsia" w:hAnsi="宋体"/>
                <w:sz w:val="15"/>
              </w:rPr>
              <w:t>良：</w:t>
            </w:r>
            <w:r>
              <w:rPr>
                <w:rFonts w:hint="eastAsia"/>
                <w:sz w:val="15"/>
              </w:rPr>
              <w:t>3-6</w:t>
            </w:r>
            <w:r>
              <w:rPr>
                <w:rFonts w:hint="eastAsia" w:hAnsi="宋体"/>
                <w:sz w:val="15"/>
              </w:rPr>
              <w:t>分</w:t>
            </w:r>
          </w:p>
          <w:p>
            <w:pPr>
              <w:spacing w:line="240" w:lineRule="exact"/>
              <w:rPr>
                <w:sz w:val="15"/>
              </w:rPr>
            </w:pPr>
            <w:r>
              <w:rPr>
                <w:rFonts w:hint="eastAsia" w:hAnsi="宋体"/>
                <w:sz w:val="15"/>
              </w:rPr>
              <w:t>差：</w:t>
            </w:r>
            <w:r>
              <w:rPr>
                <w:rFonts w:hint="eastAsia"/>
                <w:sz w:val="15"/>
              </w:rPr>
              <w:t>3</w:t>
            </w:r>
            <w:r>
              <w:rPr>
                <w:rFonts w:hint="eastAsia" w:hAnsi="宋体"/>
                <w:sz w:val="15"/>
              </w:rPr>
              <w:t>分以下</w:t>
            </w:r>
          </w:p>
        </w:tc>
        <w:tc>
          <w:tcPr>
            <w:tcW w:w="850" w:type="dxa"/>
            <w:vMerge w:val="continue"/>
            <w:vAlign w:val="center"/>
          </w:tcPr>
          <w:p>
            <w:pPr>
              <w:spacing w:line="200" w:lineRule="exact"/>
              <w:jc w:val="center"/>
              <w:rPr>
                <w:sz w:val="18"/>
              </w:rPr>
            </w:pPr>
          </w:p>
        </w:tc>
        <w:tc>
          <w:tcPr>
            <w:tcW w:w="632" w:type="dxa"/>
            <w:vMerge w:val="continue"/>
            <w:vAlign w:val="center"/>
          </w:tcPr>
          <w:p>
            <w:pPr>
              <w:jc w:val="center"/>
              <w:rPr>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27" w:hRule="atLeast"/>
          <w:jc w:val="center"/>
        </w:trPr>
        <w:tc>
          <w:tcPr>
            <w:tcW w:w="392" w:type="dxa"/>
            <w:vAlign w:val="center"/>
          </w:tcPr>
          <w:p>
            <w:pPr>
              <w:rPr>
                <w:sz w:val="24"/>
              </w:rPr>
            </w:pPr>
            <w:r>
              <w:rPr>
                <w:rFonts w:hint="eastAsia"/>
                <w:sz w:val="24"/>
              </w:rPr>
              <w:t>1</w:t>
            </w:r>
          </w:p>
        </w:tc>
        <w:tc>
          <w:tcPr>
            <w:tcW w:w="3087" w:type="dxa"/>
            <w:vAlign w:val="center"/>
          </w:tcPr>
          <w:p>
            <w:pPr>
              <w:rPr>
                <w:sz w:val="24"/>
              </w:rPr>
            </w:pPr>
          </w:p>
        </w:tc>
        <w:tc>
          <w:tcPr>
            <w:tcW w:w="1605" w:type="dxa"/>
            <w:vAlign w:val="center"/>
          </w:tcPr>
          <w:p>
            <w:pPr>
              <w:jc w:val="center"/>
              <w:rPr>
                <w:rFonts w:ascii="宋体" w:hAnsi="宋体"/>
              </w:rPr>
            </w:pPr>
          </w:p>
        </w:tc>
        <w:tc>
          <w:tcPr>
            <w:tcW w:w="1352" w:type="dxa"/>
            <w:vAlign w:val="center"/>
          </w:tcPr>
          <w:p>
            <w:pPr>
              <w:jc w:val="center"/>
              <w:rPr>
                <w:rFonts w:ascii="宋体" w:hAnsi="宋体"/>
              </w:rPr>
            </w:pPr>
          </w:p>
        </w:tc>
        <w:tc>
          <w:tcPr>
            <w:tcW w:w="1276" w:type="dxa"/>
            <w:vAlign w:val="center"/>
          </w:tcPr>
          <w:p>
            <w:pPr>
              <w:jc w:val="center"/>
              <w:rPr>
                <w:rFonts w:ascii="宋体" w:hAnsi="宋体"/>
              </w:rPr>
            </w:pPr>
          </w:p>
        </w:tc>
        <w:tc>
          <w:tcPr>
            <w:tcW w:w="1579" w:type="dxa"/>
            <w:vAlign w:val="center"/>
          </w:tcPr>
          <w:p>
            <w:pPr>
              <w:jc w:val="center"/>
              <w:rPr>
                <w:rFonts w:ascii="宋体" w:hAnsi="宋体"/>
              </w:rPr>
            </w:pPr>
          </w:p>
        </w:tc>
        <w:tc>
          <w:tcPr>
            <w:tcW w:w="1276" w:type="dxa"/>
            <w:vAlign w:val="center"/>
          </w:tcPr>
          <w:p>
            <w:pPr>
              <w:jc w:val="center"/>
              <w:rPr>
                <w:rFonts w:ascii="宋体" w:hAnsi="宋体"/>
              </w:rPr>
            </w:pPr>
          </w:p>
        </w:tc>
        <w:tc>
          <w:tcPr>
            <w:tcW w:w="1823" w:type="dxa"/>
            <w:vAlign w:val="center"/>
          </w:tcPr>
          <w:p>
            <w:pPr>
              <w:jc w:val="center"/>
              <w:rPr>
                <w:rFonts w:ascii="宋体" w:hAnsi="宋体"/>
              </w:rPr>
            </w:pPr>
          </w:p>
        </w:tc>
        <w:tc>
          <w:tcPr>
            <w:tcW w:w="1701" w:type="dxa"/>
            <w:vAlign w:val="center"/>
          </w:tcPr>
          <w:p>
            <w:pPr>
              <w:jc w:val="center"/>
              <w:rPr>
                <w:rFonts w:ascii="宋体" w:hAnsi="宋体"/>
              </w:rPr>
            </w:pPr>
          </w:p>
        </w:tc>
        <w:tc>
          <w:tcPr>
            <w:tcW w:w="850" w:type="dxa"/>
            <w:vAlign w:val="center"/>
          </w:tcPr>
          <w:p>
            <w:pPr>
              <w:jc w:val="center"/>
              <w:rPr>
                <w:rFonts w:ascii="宋体" w:hAnsi="宋体"/>
              </w:rPr>
            </w:pPr>
          </w:p>
        </w:tc>
        <w:tc>
          <w:tcPr>
            <w:tcW w:w="632"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433" w:hRule="atLeast"/>
          <w:jc w:val="center"/>
        </w:trPr>
        <w:tc>
          <w:tcPr>
            <w:tcW w:w="392" w:type="dxa"/>
            <w:vAlign w:val="center"/>
          </w:tcPr>
          <w:p>
            <w:pPr>
              <w:rPr>
                <w:sz w:val="24"/>
              </w:rPr>
            </w:pPr>
            <w:r>
              <w:rPr>
                <w:rFonts w:hint="eastAsia"/>
                <w:sz w:val="24"/>
              </w:rPr>
              <w:t>2</w:t>
            </w:r>
          </w:p>
        </w:tc>
        <w:tc>
          <w:tcPr>
            <w:tcW w:w="3087" w:type="dxa"/>
            <w:vAlign w:val="center"/>
          </w:tcPr>
          <w:p/>
        </w:tc>
        <w:tc>
          <w:tcPr>
            <w:tcW w:w="1605" w:type="dxa"/>
            <w:vAlign w:val="center"/>
          </w:tcPr>
          <w:p>
            <w:pPr>
              <w:jc w:val="center"/>
              <w:rPr>
                <w:rFonts w:ascii="宋体" w:hAnsi="宋体"/>
              </w:rPr>
            </w:pPr>
          </w:p>
        </w:tc>
        <w:tc>
          <w:tcPr>
            <w:tcW w:w="1352" w:type="dxa"/>
            <w:vAlign w:val="center"/>
          </w:tcPr>
          <w:p>
            <w:pPr>
              <w:jc w:val="center"/>
              <w:rPr>
                <w:rFonts w:ascii="宋体" w:hAnsi="宋体"/>
              </w:rPr>
            </w:pPr>
          </w:p>
        </w:tc>
        <w:tc>
          <w:tcPr>
            <w:tcW w:w="1276" w:type="dxa"/>
            <w:vAlign w:val="center"/>
          </w:tcPr>
          <w:p>
            <w:pPr>
              <w:jc w:val="center"/>
              <w:rPr>
                <w:rFonts w:ascii="宋体" w:hAnsi="宋体"/>
              </w:rPr>
            </w:pPr>
          </w:p>
        </w:tc>
        <w:tc>
          <w:tcPr>
            <w:tcW w:w="1579" w:type="dxa"/>
            <w:vAlign w:val="center"/>
          </w:tcPr>
          <w:p>
            <w:pPr>
              <w:jc w:val="center"/>
              <w:rPr>
                <w:rFonts w:ascii="宋体" w:hAnsi="宋体"/>
              </w:rPr>
            </w:pPr>
          </w:p>
        </w:tc>
        <w:tc>
          <w:tcPr>
            <w:tcW w:w="1276" w:type="dxa"/>
            <w:vAlign w:val="center"/>
          </w:tcPr>
          <w:p>
            <w:pPr>
              <w:jc w:val="center"/>
              <w:rPr>
                <w:rFonts w:ascii="宋体" w:hAnsi="宋体"/>
              </w:rPr>
            </w:pPr>
          </w:p>
        </w:tc>
        <w:tc>
          <w:tcPr>
            <w:tcW w:w="1823" w:type="dxa"/>
            <w:vAlign w:val="center"/>
          </w:tcPr>
          <w:p>
            <w:pPr>
              <w:jc w:val="center"/>
              <w:rPr>
                <w:rFonts w:ascii="宋体" w:hAnsi="宋体"/>
              </w:rPr>
            </w:pPr>
          </w:p>
        </w:tc>
        <w:tc>
          <w:tcPr>
            <w:tcW w:w="1701" w:type="dxa"/>
            <w:vAlign w:val="center"/>
          </w:tcPr>
          <w:p>
            <w:pPr>
              <w:jc w:val="center"/>
              <w:rPr>
                <w:rFonts w:ascii="宋体" w:hAnsi="宋体"/>
              </w:rPr>
            </w:pPr>
          </w:p>
        </w:tc>
        <w:tc>
          <w:tcPr>
            <w:tcW w:w="850" w:type="dxa"/>
            <w:vAlign w:val="center"/>
          </w:tcPr>
          <w:p>
            <w:pPr>
              <w:jc w:val="center"/>
              <w:rPr>
                <w:rFonts w:ascii="宋体" w:hAnsi="宋体"/>
              </w:rPr>
            </w:pPr>
          </w:p>
        </w:tc>
        <w:tc>
          <w:tcPr>
            <w:tcW w:w="632"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39" w:hRule="atLeast"/>
          <w:jc w:val="center"/>
        </w:trPr>
        <w:tc>
          <w:tcPr>
            <w:tcW w:w="392" w:type="dxa"/>
            <w:vAlign w:val="center"/>
          </w:tcPr>
          <w:p>
            <w:pPr>
              <w:rPr>
                <w:b/>
                <w:sz w:val="24"/>
              </w:rPr>
            </w:pPr>
            <w:r>
              <w:rPr>
                <w:rFonts w:hint="eastAsia"/>
                <w:b/>
                <w:sz w:val="24"/>
              </w:rPr>
              <w:t>3</w:t>
            </w:r>
          </w:p>
        </w:tc>
        <w:tc>
          <w:tcPr>
            <w:tcW w:w="3087" w:type="dxa"/>
            <w:vAlign w:val="center"/>
          </w:tcPr>
          <w:p>
            <w:pPr>
              <w:rPr>
                <w:sz w:val="24"/>
              </w:rPr>
            </w:pPr>
          </w:p>
        </w:tc>
        <w:tc>
          <w:tcPr>
            <w:tcW w:w="1605" w:type="dxa"/>
            <w:vAlign w:val="center"/>
          </w:tcPr>
          <w:p>
            <w:pPr>
              <w:jc w:val="center"/>
              <w:rPr>
                <w:rFonts w:ascii="宋体" w:hAnsi="宋体"/>
              </w:rPr>
            </w:pPr>
          </w:p>
        </w:tc>
        <w:tc>
          <w:tcPr>
            <w:tcW w:w="1352" w:type="dxa"/>
            <w:vAlign w:val="center"/>
          </w:tcPr>
          <w:p>
            <w:pPr>
              <w:jc w:val="center"/>
              <w:rPr>
                <w:rFonts w:ascii="宋体" w:hAnsi="宋体"/>
              </w:rPr>
            </w:pPr>
          </w:p>
        </w:tc>
        <w:tc>
          <w:tcPr>
            <w:tcW w:w="1276" w:type="dxa"/>
            <w:vAlign w:val="center"/>
          </w:tcPr>
          <w:p>
            <w:pPr>
              <w:jc w:val="center"/>
              <w:rPr>
                <w:rFonts w:ascii="宋体" w:hAnsi="宋体"/>
              </w:rPr>
            </w:pPr>
          </w:p>
        </w:tc>
        <w:tc>
          <w:tcPr>
            <w:tcW w:w="1579" w:type="dxa"/>
            <w:vAlign w:val="center"/>
          </w:tcPr>
          <w:p>
            <w:pPr>
              <w:jc w:val="center"/>
              <w:rPr>
                <w:rFonts w:ascii="宋体" w:hAnsi="宋体"/>
              </w:rPr>
            </w:pPr>
          </w:p>
        </w:tc>
        <w:tc>
          <w:tcPr>
            <w:tcW w:w="1276" w:type="dxa"/>
            <w:vAlign w:val="center"/>
          </w:tcPr>
          <w:p>
            <w:pPr>
              <w:jc w:val="center"/>
              <w:rPr>
                <w:rFonts w:ascii="宋体" w:hAnsi="宋体"/>
              </w:rPr>
            </w:pPr>
          </w:p>
        </w:tc>
        <w:tc>
          <w:tcPr>
            <w:tcW w:w="1823" w:type="dxa"/>
            <w:vAlign w:val="center"/>
          </w:tcPr>
          <w:p>
            <w:pPr>
              <w:jc w:val="center"/>
              <w:rPr>
                <w:rFonts w:ascii="宋体" w:hAnsi="宋体"/>
              </w:rPr>
            </w:pPr>
          </w:p>
        </w:tc>
        <w:tc>
          <w:tcPr>
            <w:tcW w:w="1701" w:type="dxa"/>
            <w:vAlign w:val="center"/>
          </w:tcPr>
          <w:p>
            <w:pPr>
              <w:jc w:val="center"/>
              <w:rPr>
                <w:rFonts w:ascii="宋体" w:hAnsi="宋体"/>
              </w:rPr>
            </w:pPr>
          </w:p>
        </w:tc>
        <w:tc>
          <w:tcPr>
            <w:tcW w:w="850" w:type="dxa"/>
            <w:vAlign w:val="center"/>
          </w:tcPr>
          <w:p>
            <w:pPr>
              <w:jc w:val="center"/>
              <w:rPr>
                <w:rFonts w:ascii="宋体" w:hAnsi="宋体"/>
              </w:rPr>
            </w:pPr>
          </w:p>
        </w:tc>
        <w:tc>
          <w:tcPr>
            <w:tcW w:w="632"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58" w:hRule="atLeast"/>
          <w:jc w:val="center"/>
        </w:trPr>
        <w:tc>
          <w:tcPr>
            <w:tcW w:w="392" w:type="dxa"/>
            <w:vAlign w:val="center"/>
          </w:tcPr>
          <w:p>
            <w:pPr>
              <w:rPr>
                <w:b/>
                <w:sz w:val="24"/>
              </w:rPr>
            </w:pPr>
            <w:r>
              <w:rPr>
                <w:rFonts w:hint="eastAsia"/>
                <w:b/>
                <w:sz w:val="24"/>
              </w:rPr>
              <w:t>4</w:t>
            </w:r>
          </w:p>
        </w:tc>
        <w:tc>
          <w:tcPr>
            <w:tcW w:w="3087" w:type="dxa"/>
            <w:vAlign w:val="center"/>
          </w:tcPr>
          <w:p>
            <w:pPr>
              <w:rPr>
                <w:sz w:val="24"/>
              </w:rPr>
            </w:pPr>
          </w:p>
        </w:tc>
        <w:tc>
          <w:tcPr>
            <w:tcW w:w="1605" w:type="dxa"/>
            <w:vAlign w:val="center"/>
          </w:tcPr>
          <w:p>
            <w:pPr>
              <w:jc w:val="center"/>
              <w:rPr>
                <w:rFonts w:ascii="宋体" w:hAnsi="宋体"/>
              </w:rPr>
            </w:pPr>
          </w:p>
        </w:tc>
        <w:tc>
          <w:tcPr>
            <w:tcW w:w="1352" w:type="dxa"/>
            <w:vAlign w:val="center"/>
          </w:tcPr>
          <w:p>
            <w:pPr>
              <w:jc w:val="center"/>
              <w:rPr>
                <w:rFonts w:ascii="宋体" w:hAnsi="宋体"/>
              </w:rPr>
            </w:pPr>
          </w:p>
        </w:tc>
        <w:tc>
          <w:tcPr>
            <w:tcW w:w="1276" w:type="dxa"/>
            <w:vAlign w:val="center"/>
          </w:tcPr>
          <w:p>
            <w:pPr>
              <w:jc w:val="center"/>
              <w:rPr>
                <w:rFonts w:ascii="宋体" w:hAnsi="宋体"/>
              </w:rPr>
            </w:pPr>
          </w:p>
        </w:tc>
        <w:tc>
          <w:tcPr>
            <w:tcW w:w="1579" w:type="dxa"/>
            <w:vAlign w:val="center"/>
          </w:tcPr>
          <w:p>
            <w:pPr>
              <w:jc w:val="center"/>
              <w:rPr>
                <w:rFonts w:ascii="宋体" w:hAnsi="宋体"/>
              </w:rPr>
            </w:pPr>
          </w:p>
        </w:tc>
        <w:tc>
          <w:tcPr>
            <w:tcW w:w="1276" w:type="dxa"/>
            <w:vAlign w:val="center"/>
          </w:tcPr>
          <w:p>
            <w:pPr>
              <w:jc w:val="center"/>
              <w:rPr>
                <w:rFonts w:ascii="宋体" w:hAnsi="宋体"/>
              </w:rPr>
            </w:pPr>
          </w:p>
        </w:tc>
        <w:tc>
          <w:tcPr>
            <w:tcW w:w="1823" w:type="dxa"/>
            <w:vAlign w:val="center"/>
          </w:tcPr>
          <w:p>
            <w:pPr>
              <w:jc w:val="center"/>
              <w:rPr>
                <w:rFonts w:ascii="宋体" w:hAnsi="宋体"/>
              </w:rPr>
            </w:pPr>
          </w:p>
        </w:tc>
        <w:tc>
          <w:tcPr>
            <w:tcW w:w="1701" w:type="dxa"/>
            <w:vAlign w:val="center"/>
          </w:tcPr>
          <w:p>
            <w:pPr>
              <w:jc w:val="center"/>
              <w:rPr>
                <w:rFonts w:ascii="宋体" w:hAnsi="宋体"/>
              </w:rPr>
            </w:pPr>
          </w:p>
        </w:tc>
        <w:tc>
          <w:tcPr>
            <w:tcW w:w="850" w:type="dxa"/>
            <w:vAlign w:val="center"/>
          </w:tcPr>
          <w:p>
            <w:pPr>
              <w:jc w:val="center"/>
              <w:rPr>
                <w:rFonts w:ascii="宋体" w:hAnsi="宋体"/>
              </w:rPr>
            </w:pPr>
          </w:p>
        </w:tc>
        <w:tc>
          <w:tcPr>
            <w:tcW w:w="632"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423" w:hRule="atLeast"/>
          <w:jc w:val="center"/>
        </w:trPr>
        <w:tc>
          <w:tcPr>
            <w:tcW w:w="392" w:type="dxa"/>
            <w:vAlign w:val="center"/>
          </w:tcPr>
          <w:p>
            <w:pPr>
              <w:rPr>
                <w:b/>
                <w:sz w:val="24"/>
              </w:rPr>
            </w:pPr>
            <w:r>
              <w:rPr>
                <w:rFonts w:hint="eastAsia"/>
                <w:b/>
                <w:sz w:val="24"/>
              </w:rPr>
              <w:t>5</w:t>
            </w:r>
          </w:p>
        </w:tc>
        <w:tc>
          <w:tcPr>
            <w:tcW w:w="3087" w:type="dxa"/>
            <w:vAlign w:val="center"/>
          </w:tcPr>
          <w:p>
            <w:pPr>
              <w:rPr>
                <w:sz w:val="24"/>
              </w:rPr>
            </w:pPr>
          </w:p>
        </w:tc>
        <w:tc>
          <w:tcPr>
            <w:tcW w:w="1605" w:type="dxa"/>
            <w:vAlign w:val="center"/>
          </w:tcPr>
          <w:p>
            <w:pPr>
              <w:jc w:val="center"/>
              <w:rPr>
                <w:rFonts w:ascii="宋体" w:hAnsi="宋体"/>
              </w:rPr>
            </w:pPr>
          </w:p>
        </w:tc>
        <w:tc>
          <w:tcPr>
            <w:tcW w:w="1352" w:type="dxa"/>
            <w:vAlign w:val="center"/>
          </w:tcPr>
          <w:p>
            <w:pPr>
              <w:jc w:val="center"/>
              <w:rPr>
                <w:rFonts w:ascii="宋体" w:hAnsi="宋体"/>
              </w:rPr>
            </w:pPr>
          </w:p>
        </w:tc>
        <w:tc>
          <w:tcPr>
            <w:tcW w:w="1276" w:type="dxa"/>
            <w:vAlign w:val="center"/>
          </w:tcPr>
          <w:p>
            <w:pPr>
              <w:jc w:val="center"/>
              <w:rPr>
                <w:rFonts w:ascii="宋体" w:hAnsi="宋体"/>
              </w:rPr>
            </w:pPr>
          </w:p>
        </w:tc>
        <w:tc>
          <w:tcPr>
            <w:tcW w:w="1579" w:type="dxa"/>
            <w:vAlign w:val="center"/>
          </w:tcPr>
          <w:p>
            <w:pPr>
              <w:jc w:val="center"/>
              <w:rPr>
                <w:rFonts w:ascii="宋体" w:hAnsi="宋体"/>
              </w:rPr>
            </w:pPr>
          </w:p>
        </w:tc>
        <w:tc>
          <w:tcPr>
            <w:tcW w:w="1276" w:type="dxa"/>
            <w:vAlign w:val="center"/>
          </w:tcPr>
          <w:p>
            <w:pPr>
              <w:jc w:val="center"/>
              <w:rPr>
                <w:rFonts w:ascii="宋体" w:hAnsi="宋体"/>
              </w:rPr>
            </w:pPr>
          </w:p>
        </w:tc>
        <w:tc>
          <w:tcPr>
            <w:tcW w:w="1823" w:type="dxa"/>
            <w:vAlign w:val="center"/>
          </w:tcPr>
          <w:p>
            <w:pPr>
              <w:jc w:val="center"/>
              <w:rPr>
                <w:rFonts w:ascii="宋体" w:hAnsi="宋体"/>
              </w:rPr>
            </w:pPr>
          </w:p>
        </w:tc>
        <w:tc>
          <w:tcPr>
            <w:tcW w:w="1701" w:type="dxa"/>
            <w:vAlign w:val="center"/>
          </w:tcPr>
          <w:p>
            <w:pPr>
              <w:jc w:val="center"/>
              <w:rPr>
                <w:rFonts w:ascii="宋体" w:hAnsi="宋体"/>
              </w:rPr>
            </w:pPr>
          </w:p>
        </w:tc>
        <w:tc>
          <w:tcPr>
            <w:tcW w:w="850" w:type="dxa"/>
            <w:vAlign w:val="center"/>
          </w:tcPr>
          <w:p>
            <w:pPr>
              <w:jc w:val="center"/>
              <w:rPr>
                <w:rFonts w:ascii="宋体" w:hAnsi="宋体"/>
              </w:rPr>
            </w:pPr>
          </w:p>
        </w:tc>
        <w:tc>
          <w:tcPr>
            <w:tcW w:w="632" w:type="dxa"/>
            <w:vAlign w:val="center"/>
          </w:tcPr>
          <w:p>
            <w:pPr>
              <w:jc w:val="center"/>
              <w:rPr>
                <w:rFonts w:ascii="宋体" w:hAnsi="宋体"/>
              </w:rPr>
            </w:pPr>
          </w:p>
        </w:tc>
      </w:tr>
    </w:tbl>
    <w:p>
      <w:pPr>
        <w:pStyle w:val="6"/>
        <w:overflowPunct w:val="0"/>
        <w:spacing w:line="288" w:lineRule="auto"/>
        <w:ind w:firstLine="619" w:firstLineChars="221"/>
        <w:rPr>
          <w:rFonts w:ascii="仿宋" w:hAnsi="仿宋" w:eastAsia="仿宋"/>
          <w:color w:val="000000"/>
          <w:sz w:val="28"/>
          <w:szCs w:val="28"/>
        </w:rPr>
      </w:pPr>
    </w:p>
    <w:p>
      <w:pPr>
        <w:pStyle w:val="6"/>
        <w:overflowPunct w:val="0"/>
        <w:spacing w:line="288" w:lineRule="auto"/>
        <w:ind w:firstLine="619" w:firstLineChars="221"/>
        <w:rPr>
          <w:rFonts w:ascii="仿宋" w:hAnsi="仿宋" w:eastAsia="仿宋"/>
          <w:color w:val="000000"/>
          <w:sz w:val="28"/>
          <w:szCs w:val="28"/>
        </w:rPr>
        <w:sectPr>
          <w:pgSz w:w="16838" w:h="11906" w:orient="landscape"/>
          <w:pgMar w:top="1077" w:right="1134" w:bottom="1077" w:left="1134" w:header="851" w:footer="992" w:gutter="0"/>
          <w:cols w:space="425" w:num="1"/>
          <w:titlePg/>
          <w:docGrid w:linePitch="312" w:charSpace="0"/>
        </w:sectPr>
      </w:pPr>
    </w:p>
    <w:p>
      <w:pPr>
        <w:pStyle w:val="2"/>
        <w:overflowPunct w:val="0"/>
        <w:spacing w:line="360" w:lineRule="auto"/>
        <w:rPr>
          <w:rFonts w:ascii="仿宋" w:hAnsi="仿宋" w:eastAsia="仿宋"/>
        </w:rPr>
      </w:pPr>
      <w:bookmarkStart w:id="19" w:name="_Toc515961875"/>
      <w:bookmarkStart w:id="20" w:name="_Toc482106465"/>
      <w:r>
        <w:rPr>
          <w:rFonts w:hint="eastAsia" w:ascii="仿宋" w:hAnsi="仿宋" w:eastAsia="仿宋"/>
        </w:rPr>
        <w:t>第四章、响应文件格式与要求(参考)</w:t>
      </w:r>
      <w:bookmarkEnd w:id="19"/>
      <w:bookmarkEnd w:id="20"/>
    </w:p>
    <w:p>
      <w:pPr>
        <w:pStyle w:val="3"/>
        <w:overflowPunct w:val="0"/>
        <w:spacing w:line="415" w:lineRule="auto"/>
        <w:ind w:firstLine="562" w:firstLineChars="200"/>
        <w:rPr>
          <w:rFonts w:ascii="仿宋" w:hAnsi="仿宋" w:eastAsia="仿宋"/>
          <w:sz w:val="28"/>
        </w:rPr>
      </w:pPr>
      <w:bookmarkStart w:id="21" w:name="_Toc515961876"/>
      <w:bookmarkStart w:id="22" w:name="_Toc511901338"/>
      <w:bookmarkStart w:id="23" w:name="_Toc508179917"/>
      <w:bookmarkStart w:id="24" w:name="_Toc482106466"/>
      <w:r>
        <w:rPr>
          <w:rFonts w:hint="eastAsia" w:ascii="仿宋" w:hAnsi="仿宋" w:eastAsia="仿宋"/>
          <w:sz w:val="28"/>
        </w:rPr>
        <w:t>格式一：</w:t>
      </w:r>
      <w:bookmarkEnd w:id="21"/>
      <w:bookmarkEnd w:id="22"/>
      <w:bookmarkEnd w:id="23"/>
      <w:bookmarkEnd w:id="24"/>
    </w:p>
    <w:p>
      <w:pPr>
        <w:overflowPunct w:val="0"/>
        <w:jc w:val="center"/>
        <w:rPr>
          <w:rFonts w:ascii="仿宋" w:hAnsi="仿宋" w:eastAsia="仿宋"/>
        </w:rPr>
      </w:pPr>
      <w:r>
        <w:rPr>
          <w:rFonts w:hint="eastAsia" w:ascii="仿宋" w:hAnsi="仿宋" w:eastAsia="仿宋"/>
          <w:sz w:val="40"/>
        </w:rPr>
        <w:t>（相应文件封面）</w:t>
      </w:r>
    </w:p>
    <w:p>
      <w:pPr>
        <w:overflowPunct w:val="0"/>
        <w:jc w:val="center"/>
        <w:rPr>
          <w:rFonts w:ascii="仿宋" w:hAnsi="仿宋" w:eastAsia="仿宋"/>
          <w:sz w:val="52"/>
          <w:szCs w:val="52"/>
        </w:rPr>
      </w:pPr>
      <w:r>
        <w:rPr>
          <w:rFonts w:hint="eastAsia" w:ascii="仿宋" w:hAnsi="仿宋" w:eastAsia="仿宋"/>
          <w:sz w:val="52"/>
          <w:szCs w:val="52"/>
        </w:rPr>
        <w:t>竞争性谈判响应文件</w:t>
      </w:r>
    </w:p>
    <w:p>
      <w:pPr>
        <w:overflowPunct w:val="0"/>
        <w:jc w:val="center"/>
        <w:rPr>
          <w:rFonts w:ascii="仿宋" w:hAnsi="仿宋" w:eastAsia="仿宋"/>
          <w:sz w:val="52"/>
          <w:szCs w:val="52"/>
        </w:rPr>
      </w:pPr>
      <w:r>
        <w:rPr>
          <w:rFonts w:hint="eastAsia" w:ascii="仿宋" w:hAnsi="仿宋" w:eastAsia="仿宋"/>
          <w:sz w:val="52"/>
          <w:szCs w:val="52"/>
        </w:rPr>
        <w:t>（正本/副本）</w:t>
      </w:r>
    </w:p>
    <w:p>
      <w:pPr>
        <w:overflowPunct w:val="0"/>
        <w:jc w:val="center"/>
        <w:rPr>
          <w:rFonts w:ascii="仿宋" w:hAnsi="仿宋" w:eastAsia="仿宋"/>
          <w:sz w:val="44"/>
          <w:szCs w:val="44"/>
        </w:rPr>
      </w:pPr>
      <w:r>
        <w:rPr>
          <w:rFonts w:hint="eastAsia" w:ascii="仿宋" w:hAnsi="仿宋" w:eastAsia="仿宋"/>
          <w:sz w:val="44"/>
          <w:szCs w:val="44"/>
        </w:rPr>
        <w:t>项目名称：</w:t>
      </w:r>
    </w:p>
    <w:p>
      <w:pPr>
        <w:overflowPunct w:val="0"/>
        <w:jc w:val="center"/>
        <w:rPr>
          <w:rFonts w:ascii="仿宋" w:hAnsi="仿宋" w:eastAsia="仿宋"/>
          <w:sz w:val="44"/>
          <w:szCs w:val="44"/>
        </w:rPr>
      </w:pPr>
      <w:r>
        <w:rPr>
          <w:rFonts w:hint="eastAsia" w:ascii="仿宋" w:hAnsi="仿宋" w:eastAsia="仿宋"/>
          <w:sz w:val="44"/>
          <w:szCs w:val="44"/>
        </w:rPr>
        <w:t>项目编号：</w:t>
      </w: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44"/>
          <w:szCs w:val="44"/>
        </w:rPr>
      </w:pPr>
      <w:r>
        <w:rPr>
          <w:rFonts w:hint="eastAsia" w:ascii="仿宋" w:hAnsi="仿宋" w:eastAsia="仿宋"/>
          <w:sz w:val="44"/>
          <w:szCs w:val="44"/>
        </w:rPr>
        <w:t>竞标人名称</w:t>
      </w:r>
    </w:p>
    <w:p>
      <w:pPr>
        <w:overflowPunct w:val="0"/>
        <w:jc w:val="center"/>
        <w:rPr>
          <w:rFonts w:ascii="仿宋" w:hAnsi="仿宋" w:eastAsia="仿宋"/>
          <w:sz w:val="44"/>
          <w:szCs w:val="44"/>
        </w:rPr>
      </w:pPr>
    </w:p>
    <w:p>
      <w:pPr>
        <w:overflowPunct w:val="0"/>
        <w:jc w:val="center"/>
        <w:rPr>
          <w:rFonts w:ascii="仿宋" w:hAnsi="仿宋" w:eastAsia="仿宋"/>
          <w:sz w:val="44"/>
          <w:szCs w:val="44"/>
        </w:rPr>
      </w:pPr>
      <w:r>
        <w:rPr>
          <w:rFonts w:hint="eastAsia" w:ascii="仿宋" w:hAnsi="仿宋" w:eastAsia="仿宋"/>
          <w:sz w:val="44"/>
          <w:szCs w:val="44"/>
        </w:rPr>
        <w:t>年    月    日</w:t>
      </w: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pStyle w:val="3"/>
        <w:overflowPunct w:val="0"/>
        <w:spacing w:line="415" w:lineRule="auto"/>
        <w:rPr>
          <w:rFonts w:ascii="仿宋" w:hAnsi="仿宋" w:eastAsia="仿宋"/>
        </w:rPr>
      </w:pPr>
      <w:bookmarkStart w:id="25" w:name="_Toc515961877"/>
      <w:bookmarkStart w:id="26" w:name="_Toc511901339"/>
      <w:bookmarkStart w:id="27" w:name="_Toc508179918"/>
      <w:bookmarkStart w:id="28" w:name="_Toc482106467"/>
      <w:r>
        <w:rPr>
          <w:rFonts w:hint="eastAsia" w:ascii="仿宋" w:hAnsi="仿宋" w:eastAsia="仿宋"/>
        </w:rPr>
        <w:t>格式二：</w:t>
      </w:r>
      <w:bookmarkEnd w:id="25"/>
      <w:bookmarkEnd w:id="26"/>
      <w:bookmarkEnd w:id="27"/>
      <w:bookmarkEnd w:id="28"/>
    </w:p>
    <w:p>
      <w:pPr>
        <w:overflowPunct w:val="0"/>
        <w:jc w:val="center"/>
        <w:rPr>
          <w:rFonts w:ascii="仿宋" w:hAnsi="仿宋" w:eastAsia="仿宋"/>
          <w:sz w:val="32"/>
          <w:szCs w:val="32"/>
        </w:rPr>
      </w:pPr>
      <w:r>
        <w:rPr>
          <w:rFonts w:hint="eastAsia" w:ascii="仿宋" w:hAnsi="仿宋" w:eastAsia="仿宋"/>
          <w:sz w:val="32"/>
          <w:szCs w:val="32"/>
        </w:rPr>
        <w:t>目录</w:t>
      </w:r>
    </w:p>
    <w:p>
      <w:pPr>
        <w:overflowPunct w:val="0"/>
        <w:rPr>
          <w:rFonts w:ascii="仿宋" w:hAnsi="仿宋" w:eastAsia="仿宋"/>
          <w:sz w:val="32"/>
          <w:szCs w:val="32"/>
        </w:rPr>
      </w:pPr>
    </w:p>
    <w:p>
      <w:pPr>
        <w:overflowPunct w:val="0"/>
        <w:spacing w:line="480" w:lineRule="exact"/>
        <w:jc w:val="center"/>
        <w:rPr>
          <w:rFonts w:ascii="仿宋" w:hAnsi="仿宋" w:eastAsia="仿宋"/>
          <w:b/>
          <w:color w:val="000000"/>
          <w:sz w:val="28"/>
          <w:szCs w:val="28"/>
        </w:rPr>
      </w:pP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一、投标承诺书…………………………………………………………（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三、项目分项报价明细表………………………………………………（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四、项目服务方案、承诺和质量保证措施……………………………（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五、各类</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 ……………………… （ ）</w:t>
      </w:r>
    </w:p>
    <w:p>
      <w:pPr>
        <w:overflowPunct w:val="0"/>
        <w:jc w:val="center"/>
        <w:rPr>
          <w:rFonts w:ascii="仿宋" w:hAnsi="仿宋" w:eastAsia="仿宋"/>
          <w:sz w:val="32"/>
          <w:szCs w:val="32"/>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pStyle w:val="3"/>
        <w:overflowPunct w:val="0"/>
        <w:spacing w:line="415" w:lineRule="auto"/>
        <w:rPr>
          <w:rFonts w:ascii="仿宋" w:hAnsi="仿宋" w:eastAsia="仿宋"/>
        </w:rPr>
      </w:pPr>
      <w:bookmarkStart w:id="29" w:name="_Toc515961878"/>
      <w:bookmarkStart w:id="30" w:name="_Toc482106468"/>
      <w:bookmarkStart w:id="31" w:name="_Toc511901340"/>
      <w:bookmarkStart w:id="32" w:name="_Toc508179919"/>
      <w:r>
        <w:rPr>
          <w:rFonts w:hint="eastAsia" w:ascii="仿宋" w:hAnsi="仿宋" w:eastAsia="仿宋"/>
        </w:rPr>
        <w:t>格式三</w:t>
      </w:r>
      <w:bookmarkEnd w:id="29"/>
      <w:bookmarkEnd w:id="30"/>
      <w:bookmarkEnd w:id="31"/>
      <w:bookmarkEnd w:id="32"/>
    </w:p>
    <w:p>
      <w:pPr>
        <w:overflowPunct w:val="0"/>
        <w:spacing w:line="520" w:lineRule="exact"/>
        <w:jc w:val="center"/>
        <w:rPr>
          <w:rFonts w:ascii="仿宋" w:hAnsi="仿宋" w:eastAsia="仿宋"/>
          <w:bCs/>
          <w:color w:val="000000"/>
          <w:sz w:val="28"/>
          <w:szCs w:val="28"/>
        </w:rPr>
      </w:pPr>
      <w:r>
        <w:rPr>
          <w:rFonts w:hint="eastAsia" w:ascii="仿宋" w:hAnsi="仿宋" w:eastAsia="仿宋"/>
          <w:bCs/>
          <w:color w:val="000000"/>
          <w:sz w:val="28"/>
          <w:szCs w:val="28"/>
        </w:rPr>
        <w:t>投标承诺书</w:t>
      </w:r>
    </w:p>
    <w:p>
      <w:pPr>
        <w:overflowPunct w:val="0"/>
        <w:spacing w:line="520" w:lineRule="exact"/>
        <w:ind w:firstLine="56" w:firstLineChars="20"/>
        <w:rPr>
          <w:rFonts w:ascii="仿宋" w:hAnsi="仿宋" w:eastAsia="仿宋"/>
          <w:color w:val="000000"/>
          <w:sz w:val="28"/>
          <w:szCs w:val="28"/>
        </w:rPr>
      </w:pPr>
      <w:r>
        <w:rPr>
          <w:rFonts w:hint="eastAsia" w:ascii="仿宋" w:hAnsi="仿宋" w:eastAsia="仿宋"/>
          <w:color w:val="000000"/>
          <w:sz w:val="28"/>
          <w:szCs w:val="28"/>
        </w:rPr>
        <w:t xml:space="preserve">鄂尔多斯机场物业服务有限公司： </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2.一旦我方中标，我方保证在合同签订后履行服务内容。</w:t>
      </w:r>
    </w:p>
    <w:p>
      <w:pPr>
        <w:overflowPunct w:val="0"/>
        <w:spacing w:line="520" w:lineRule="exact"/>
        <w:ind w:firstLine="57"/>
        <w:rPr>
          <w:rFonts w:ascii="仿宋" w:hAnsi="仿宋" w:eastAsia="仿宋"/>
          <w:color w:val="000000"/>
          <w:sz w:val="28"/>
          <w:szCs w:val="28"/>
        </w:rPr>
      </w:pPr>
      <w:r>
        <w:rPr>
          <w:rFonts w:hint="eastAsia" w:ascii="仿宋" w:hAnsi="仿宋" w:eastAsia="仿宋"/>
          <w:color w:val="000000"/>
          <w:sz w:val="28"/>
          <w:szCs w:val="28"/>
        </w:rPr>
        <w:t xml:space="preserve">    3.我方同意所递交的响应文件在“投标须知”规定的投标有效期内有效，在此期间内我方的投标如能中标，我方将受此约束。</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4.我方郑重声明：所提供的响应文件内容全部真实有效。</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5.我方</w:t>
      </w:r>
      <w:r>
        <w:rPr>
          <w:rFonts w:hint="eastAsia" w:ascii="仿宋" w:hAnsi="仿宋" w:eastAsia="仿宋"/>
          <w:color w:val="000000"/>
          <w:kern w:val="0"/>
          <w:sz w:val="28"/>
          <w:szCs w:val="28"/>
        </w:rPr>
        <w:t>接受招标文件所列须知中关于没收投标保证金的约定。</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6.我方同意提供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overflowPunct w:val="0"/>
        <w:spacing w:line="520" w:lineRule="exact"/>
        <w:ind w:firstLine="846" w:firstLineChars="302"/>
        <w:rPr>
          <w:rFonts w:ascii="仿宋" w:hAnsi="仿宋" w:eastAsia="仿宋"/>
          <w:color w:val="000000"/>
          <w:kern w:val="0"/>
          <w:sz w:val="28"/>
          <w:szCs w:val="28"/>
          <w:u w:val="single"/>
        </w:rPr>
      </w:pPr>
      <w:r>
        <w:rPr>
          <w:rFonts w:hint="eastAsia" w:ascii="仿宋" w:hAnsi="仿宋" w:eastAsia="仿宋"/>
          <w:color w:val="000000"/>
          <w:kern w:val="0"/>
          <w:sz w:val="28"/>
          <w:szCs w:val="28"/>
        </w:rPr>
        <w:t>供应商名称：</w:t>
      </w:r>
    </w:p>
    <w:p>
      <w:pPr>
        <w:overflowPunct w:val="0"/>
        <w:autoSpaceDE w:val="0"/>
        <w:autoSpaceDN w:val="0"/>
        <w:adjustRightInd w:val="0"/>
        <w:spacing w:line="520" w:lineRule="exact"/>
        <w:ind w:right="246" w:firstLine="840" w:firstLineChars="300"/>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overflowPunct w:val="0"/>
        <w:autoSpaceDE w:val="0"/>
        <w:autoSpaceDN w:val="0"/>
        <w:adjustRightInd w:val="0"/>
        <w:spacing w:line="520" w:lineRule="exact"/>
        <w:ind w:right="246" w:firstLine="840" w:firstLineChars="300"/>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overflowPunct w:val="0"/>
        <w:autoSpaceDE w:val="0"/>
        <w:autoSpaceDN w:val="0"/>
        <w:adjustRightInd w:val="0"/>
        <w:spacing w:line="520" w:lineRule="exact"/>
        <w:ind w:right="246" w:firstLine="840" w:firstLineChars="300"/>
        <w:rPr>
          <w:rFonts w:ascii="仿宋" w:hAnsi="仿宋" w:eastAsia="仿宋"/>
          <w:color w:val="000000"/>
          <w:sz w:val="28"/>
          <w:szCs w:val="28"/>
        </w:rPr>
      </w:pPr>
      <w:r>
        <w:rPr>
          <w:rFonts w:hint="eastAsia" w:ascii="仿宋" w:hAnsi="仿宋" w:eastAsia="仿宋"/>
          <w:color w:val="000000"/>
          <w:sz w:val="28"/>
          <w:szCs w:val="28"/>
        </w:rPr>
        <w:t>供应商开户银行：                  账号/行号：</w:t>
      </w:r>
    </w:p>
    <w:p>
      <w:pPr>
        <w:overflowPunct w:val="0"/>
        <w:adjustRightInd w:val="0"/>
        <w:snapToGrid w:val="0"/>
        <w:spacing w:line="520" w:lineRule="exact"/>
        <w:ind w:firstLine="840" w:firstLineChars="300"/>
        <w:rPr>
          <w:rFonts w:ascii="仿宋" w:hAnsi="仿宋" w:eastAsia="仿宋"/>
          <w:color w:val="000000"/>
          <w:sz w:val="28"/>
          <w:szCs w:val="28"/>
        </w:rPr>
      </w:pPr>
      <w:r>
        <w:rPr>
          <w:rFonts w:hint="eastAsia" w:ascii="仿宋" w:hAnsi="仿宋" w:eastAsia="仿宋"/>
          <w:color w:val="000000"/>
          <w:sz w:val="28"/>
          <w:szCs w:val="28"/>
        </w:rPr>
        <w:t>供应商法人签字：</w:t>
      </w:r>
    </w:p>
    <w:p>
      <w:pPr>
        <w:overflowPunct w:val="0"/>
        <w:adjustRightInd w:val="0"/>
        <w:snapToGrid w:val="0"/>
        <w:spacing w:line="520" w:lineRule="exact"/>
        <w:ind w:firstLine="840" w:firstLineChars="300"/>
        <w:rPr>
          <w:rFonts w:ascii="仿宋" w:hAnsi="仿宋" w:eastAsia="仿宋"/>
          <w:color w:val="000000"/>
          <w:sz w:val="28"/>
          <w:szCs w:val="28"/>
          <w:u w:val="single"/>
        </w:rPr>
      </w:pPr>
      <w:r>
        <w:rPr>
          <w:rFonts w:hint="eastAsia" w:ascii="仿宋" w:hAnsi="仿宋" w:eastAsia="仿宋"/>
          <w:color w:val="000000"/>
          <w:sz w:val="28"/>
          <w:szCs w:val="28"/>
        </w:rPr>
        <w:t>供应商法人授权代表签字：</w:t>
      </w:r>
    </w:p>
    <w:p>
      <w:pPr>
        <w:overflowPunct w:val="0"/>
        <w:autoSpaceDE w:val="0"/>
        <w:autoSpaceDN w:val="0"/>
        <w:spacing w:line="520" w:lineRule="exact"/>
        <w:ind w:firstLine="5460" w:firstLineChars="1950"/>
        <w:rPr>
          <w:rFonts w:ascii="仿宋" w:hAnsi="仿宋" w:eastAsia="仿宋"/>
          <w:color w:val="000000"/>
          <w:sz w:val="28"/>
          <w:szCs w:val="28"/>
        </w:rPr>
      </w:pPr>
      <w:r>
        <w:rPr>
          <w:rFonts w:hint="eastAsia" w:ascii="仿宋" w:hAnsi="仿宋" w:eastAsia="仿宋"/>
          <w:color w:val="000000"/>
          <w:sz w:val="28"/>
          <w:szCs w:val="28"/>
        </w:rPr>
        <w:t>供应商名称(公章)：</w:t>
      </w:r>
    </w:p>
    <w:p>
      <w:pPr>
        <w:overflowPunct w:val="0"/>
        <w:autoSpaceDE w:val="0"/>
        <w:autoSpaceDN w:val="0"/>
        <w:spacing w:line="450" w:lineRule="exact"/>
        <w:ind w:firstLine="6020" w:firstLineChars="2150"/>
        <w:rPr>
          <w:rFonts w:ascii="仿宋" w:hAnsi="仿宋" w:eastAsia="仿宋"/>
          <w:color w:val="000000"/>
          <w:sz w:val="28"/>
          <w:szCs w:val="28"/>
        </w:rPr>
      </w:pPr>
      <w:r>
        <w:rPr>
          <w:rFonts w:hint="eastAsia" w:ascii="仿宋" w:hAnsi="仿宋" w:eastAsia="仿宋"/>
          <w:color w:val="000000"/>
          <w:sz w:val="28"/>
          <w:szCs w:val="28"/>
        </w:rPr>
        <w:t>年 月 日</w:t>
      </w:r>
    </w:p>
    <w:p>
      <w:pPr>
        <w:overflowPunct w:val="0"/>
        <w:autoSpaceDE w:val="0"/>
        <w:autoSpaceDN w:val="0"/>
        <w:spacing w:line="450" w:lineRule="exact"/>
        <w:ind w:firstLine="6020" w:firstLineChars="2150"/>
        <w:rPr>
          <w:rFonts w:ascii="仿宋" w:hAnsi="仿宋" w:eastAsia="仿宋"/>
          <w:color w:val="000000"/>
          <w:sz w:val="28"/>
          <w:szCs w:val="28"/>
        </w:rPr>
      </w:pPr>
    </w:p>
    <w:p>
      <w:pPr>
        <w:overflowPunct w:val="0"/>
        <w:autoSpaceDE w:val="0"/>
        <w:autoSpaceDN w:val="0"/>
        <w:spacing w:line="450" w:lineRule="exact"/>
        <w:ind w:firstLine="6020" w:firstLineChars="2150"/>
        <w:rPr>
          <w:rFonts w:ascii="仿宋" w:hAnsi="仿宋" w:eastAsia="仿宋"/>
          <w:color w:val="000000"/>
          <w:sz w:val="28"/>
          <w:szCs w:val="28"/>
        </w:rPr>
      </w:pPr>
    </w:p>
    <w:p>
      <w:pPr>
        <w:pStyle w:val="3"/>
        <w:overflowPunct w:val="0"/>
        <w:spacing w:line="415" w:lineRule="auto"/>
        <w:rPr>
          <w:rFonts w:ascii="仿宋" w:hAnsi="仿宋" w:eastAsia="仿宋"/>
        </w:rPr>
      </w:pPr>
      <w:bookmarkStart w:id="33" w:name="_Toc515961879"/>
      <w:bookmarkStart w:id="34" w:name="_Toc511901341"/>
      <w:bookmarkStart w:id="35" w:name="_Toc508179920"/>
      <w:bookmarkStart w:id="36" w:name="_Toc482106469"/>
      <w:r>
        <w:rPr>
          <w:rFonts w:hint="eastAsia" w:ascii="仿宋" w:hAnsi="仿宋" w:eastAsia="仿宋"/>
        </w:rPr>
        <w:t>格式四</w:t>
      </w:r>
      <w:bookmarkEnd w:id="33"/>
      <w:bookmarkEnd w:id="34"/>
      <w:bookmarkEnd w:id="35"/>
      <w:bookmarkEnd w:id="36"/>
    </w:p>
    <w:p>
      <w:pPr>
        <w:overflowPunct w:val="0"/>
        <w:jc w:val="center"/>
        <w:rPr>
          <w:rFonts w:ascii="仿宋" w:hAnsi="仿宋" w:eastAsia="仿宋"/>
          <w:sz w:val="28"/>
          <w:szCs w:val="28"/>
        </w:rPr>
      </w:pPr>
      <w:r>
        <w:rPr>
          <w:rFonts w:hint="eastAsia" w:ascii="仿宋" w:hAnsi="仿宋" w:eastAsia="仿宋"/>
          <w:sz w:val="28"/>
          <w:szCs w:val="28"/>
        </w:rPr>
        <w:t>法定代表人授权委托书</w:t>
      </w:r>
    </w:p>
    <w:p>
      <w:pPr>
        <w:overflowPunct w:val="0"/>
        <w:spacing w:line="480" w:lineRule="exact"/>
        <w:ind w:firstLine="840" w:firstLineChars="30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委托代理人无转委权。</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特此委托。</w: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pict>
          <v:shape id="Text Box 2" o:spid="_x0000_s2053" o:spt="202" type="#_x0000_t202" style="position:absolute;left:0pt;margin-left:270pt;margin-top:9.6pt;height:150pt;width:198pt;z-index:251657216;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r>
        <w:rPr>
          <w:rFonts w:ascii="仿宋" w:hAnsi="仿宋" w:eastAsia="仿宋"/>
          <w:sz w:val="28"/>
          <w:szCs w:val="28"/>
        </w:rPr>
        <w:pict>
          <v:shape id="Text Box 3" o:spid="_x0000_s2052" o:spt="202" type="#_x0000_t202" style="position:absolute;left:0pt;margin-left:-9pt;margin-top:8.6pt;height:150pt;width:207pt;z-index:251658240;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竞标人：（公章）</w: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法定代表人：（签字）</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 xml:space="preserve">                                   年   月   日</w:t>
      </w:r>
    </w:p>
    <w:p>
      <w:pPr>
        <w:overflowPunct w:val="0"/>
        <w:spacing w:line="450" w:lineRule="exact"/>
        <w:ind w:firstLine="56" w:firstLineChars="20"/>
        <w:rPr>
          <w:rFonts w:ascii="仿宋" w:hAnsi="仿宋" w:eastAsia="仿宋"/>
          <w:sz w:val="28"/>
          <w:szCs w:val="28"/>
        </w:rPr>
      </w:pPr>
    </w:p>
    <w:p>
      <w:pPr>
        <w:overflowPunct w:val="0"/>
        <w:rPr>
          <w:rFonts w:ascii="仿宋" w:hAnsi="仿宋" w:eastAsia="仿宋"/>
          <w:sz w:val="28"/>
          <w:szCs w:val="28"/>
        </w:rPr>
      </w:pPr>
    </w:p>
    <w:p>
      <w:pPr>
        <w:pStyle w:val="3"/>
        <w:overflowPunct w:val="0"/>
        <w:spacing w:line="415" w:lineRule="auto"/>
        <w:rPr>
          <w:rFonts w:ascii="仿宋" w:hAnsi="仿宋" w:eastAsia="仿宋"/>
        </w:rPr>
      </w:pPr>
      <w:bookmarkStart w:id="37" w:name="_Toc482106470"/>
      <w:bookmarkStart w:id="38" w:name="_Toc508179921"/>
      <w:bookmarkStart w:id="39" w:name="_Toc511901342"/>
      <w:bookmarkStart w:id="40" w:name="_Toc515961880"/>
      <w:r>
        <w:rPr>
          <w:rFonts w:hint="eastAsia" w:ascii="仿宋" w:hAnsi="仿宋" w:eastAsia="仿宋"/>
        </w:rPr>
        <w:t>格式五</w:t>
      </w:r>
      <w:bookmarkEnd w:id="37"/>
      <w:bookmarkEnd w:id="38"/>
      <w:bookmarkEnd w:id="39"/>
      <w:bookmarkEnd w:id="40"/>
    </w:p>
    <w:p>
      <w:pPr>
        <w:overflowPunct w:val="0"/>
        <w:jc w:val="center"/>
        <w:rPr>
          <w:rFonts w:ascii="仿宋" w:hAnsi="仿宋" w:eastAsia="仿宋"/>
          <w:sz w:val="28"/>
          <w:szCs w:val="28"/>
        </w:rPr>
      </w:pPr>
      <w:r>
        <w:rPr>
          <w:rFonts w:hint="eastAsia" w:ascii="仿宋" w:hAnsi="仿宋" w:eastAsia="仿宋"/>
          <w:sz w:val="28"/>
          <w:szCs w:val="28"/>
        </w:rPr>
        <w:t>投标项目分项报价明细表</w:t>
      </w:r>
    </w:p>
    <w:p>
      <w:pPr>
        <w:overflowPunct w:val="0"/>
        <w:rPr>
          <w:rFonts w:ascii="仿宋" w:hAnsi="仿宋" w:eastAsia="仿宋"/>
          <w:sz w:val="28"/>
          <w:szCs w:val="28"/>
        </w:rPr>
      </w:pPr>
      <w:r>
        <w:rPr>
          <w:rFonts w:hint="eastAsia" w:ascii="仿宋" w:hAnsi="仿宋" w:eastAsia="仿宋"/>
          <w:sz w:val="28"/>
          <w:szCs w:val="28"/>
        </w:rPr>
        <w:t>项目名称：</w:t>
      </w:r>
    </w:p>
    <w:tbl>
      <w:tblPr>
        <w:tblStyle w:val="16"/>
        <w:tblW w:w="98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2011"/>
        <w:gridCol w:w="1276"/>
        <w:gridCol w:w="992"/>
        <w:gridCol w:w="1418"/>
        <w:gridCol w:w="1134"/>
        <w:gridCol w:w="1276"/>
        <w:gridCol w:w="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1" w:hRule="atLeast"/>
          <w:jc w:val="center"/>
        </w:trPr>
        <w:tc>
          <w:tcPr>
            <w:tcW w:w="866" w:type="dxa"/>
            <w:vAlign w:val="center"/>
          </w:tcPr>
          <w:p>
            <w:pPr>
              <w:overflowPunct w:val="0"/>
              <w:jc w:val="center"/>
              <w:rPr>
                <w:rFonts w:ascii="仿宋" w:hAnsi="仿宋" w:eastAsia="仿宋"/>
                <w:b/>
                <w:sz w:val="24"/>
                <w:szCs w:val="28"/>
              </w:rPr>
            </w:pPr>
            <w:r>
              <w:rPr>
                <w:rFonts w:hint="eastAsia" w:ascii="仿宋" w:hAnsi="仿宋" w:eastAsia="仿宋"/>
                <w:b/>
                <w:sz w:val="24"/>
                <w:szCs w:val="28"/>
              </w:rPr>
              <w:t>序号</w:t>
            </w:r>
          </w:p>
        </w:tc>
        <w:tc>
          <w:tcPr>
            <w:tcW w:w="2011" w:type="dxa"/>
            <w:vAlign w:val="center"/>
          </w:tcPr>
          <w:p>
            <w:pPr>
              <w:overflowPunct w:val="0"/>
              <w:jc w:val="center"/>
              <w:rPr>
                <w:rFonts w:ascii="仿宋" w:hAnsi="仿宋" w:eastAsia="仿宋"/>
                <w:b/>
                <w:sz w:val="24"/>
                <w:szCs w:val="28"/>
              </w:rPr>
            </w:pPr>
            <w:r>
              <w:rPr>
                <w:rFonts w:hint="eastAsia" w:ascii="仿宋" w:hAnsi="仿宋" w:eastAsia="仿宋"/>
                <w:b/>
                <w:sz w:val="24"/>
                <w:szCs w:val="28"/>
              </w:rPr>
              <w:t>设备名称</w:t>
            </w:r>
          </w:p>
        </w:tc>
        <w:tc>
          <w:tcPr>
            <w:tcW w:w="1276" w:type="dxa"/>
            <w:vAlign w:val="center"/>
          </w:tcPr>
          <w:p>
            <w:pPr>
              <w:overflowPunct w:val="0"/>
              <w:jc w:val="center"/>
              <w:rPr>
                <w:rFonts w:ascii="仿宋" w:hAnsi="仿宋" w:eastAsia="仿宋"/>
                <w:b/>
                <w:sz w:val="24"/>
                <w:szCs w:val="28"/>
              </w:rPr>
            </w:pPr>
            <w:r>
              <w:rPr>
                <w:rFonts w:hint="eastAsia" w:ascii="仿宋" w:hAnsi="仿宋" w:eastAsia="仿宋"/>
                <w:b/>
                <w:sz w:val="24"/>
                <w:szCs w:val="28"/>
              </w:rPr>
              <w:t>规格型号</w:t>
            </w:r>
          </w:p>
        </w:tc>
        <w:tc>
          <w:tcPr>
            <w:tcW w:w="992" w:type="dxa"/>
            <w:vAlign w:val="center"/>
          </w:tcPr>
          <w:p>
            <w:pPr>
              <w:overflowPunct w:val="0"/>
              <w:jc w:val="center"/>
              <w:rPr>
                <w:rFonts w:ascii="仿宋" w:hAnsi="仿宋" w:eastAsia="仿宋"/>
                <w:b/>
                <w:sz w:val="24"/>
                <w:szCs w:val="28"/>
              </w:rPr>
            </w:pPr>
            <w:r>
              <w:rPr>
                <w:rFonts w:hint="eastAsia" w:ascii="仿宋" w:hAnsi="仿宋" w:eastAsia="仿宋"/>
                <w:b/>
                <w:sz w:val="24"/>
                <w:szCs w:val="28"/>
              </w:rPr>
              <w:t>产地</w:t>
            </w:r>
          </w:p>
        </w:tc>
        <w:tc>
          <w:tcPr>
            <w:tcW w:w="1418" w:type="dxa"/>
            <w:vAlign w:val="center"/>
          </w:tcPr>
          <w:p>
            <w:pPr>
              <w:overflowPunct w:val="0"/>
              <w:rPr>
                <w:rFonts w:ascii="仿宋" w:hAnsi="仿宋" w:eastAsia="仿宋"/>
                <w:b/>
                <w:sz w:val="24"/>
                <w:szCs w:val="28"/>
              </w:rPr>
            </w:pPr>
            <w:r>
              <w:rPr>
                <w:rFonts w:hint="eastAsia" w:ascii="仿宋" w:hAnsi="仿宋" w:eastAsia="仿宋"/>
                <w:b/>
                <w:sz w:val="24"/>
                <w:szCs w:val="28"/>
              </w:rPr>
              <w:t>单价（元）</w:t>
            </w:r>
          </w:p>
        </w:tc>
        <w:tc>
          <w:tcPr>
            <w:tcW w:w="1134" w:type="dxa"/>
            <w:vAlign w:val="center"/>
          </w:tcPr>
          <w:p>
            <w:pPr>
              <w:overflowPunct w:val="0"/>
              <w:jc w:val="center"/>
              <w:rPr>
                <w:rFonts w:ascii="仿宋" w:hAnsi="仿宋" w:eastAsia="仿宋"/>
                <w:b/>
                <w:sz w:val="24"/>
                <w:szCs w:val="28"/>
              </w:rPr>
            </w:pPr>
            <w:r>
              <w:rPr>
                <w:rFonts w:hint="eastAsia" w:ascii="仿宋" w:hAnsi="仿宋" w:eastAsia="仿宋"/>
                <w:b/>
                <w:sz w:val="24"/>
                <w:szCs w:val="28"/>
              </w:rPr>
              <w:t>数量</w:t>
            </w:r>
          </w:p>
        </w:tc>
        <w:tc>
          <w:tcPr>
            <w:tcW w:w="1276" w:type="dxa"/>
            <w:vAlign w:val="center"/>
          </w:tcPr>
          <w:p>
            <w:pPr>
              <w:overflowPunct w:val="0"/>
              <w:jc w:val="center"/>
              <w:rPr>
                <w:rFonts w:ascii="仿宋" w:hAnsi="仿宋" w:eastAsia="仿宋"/>
                <w:b/>
                <w:sz w:val="24"/>
                <w:szCs w:val="28"/>
              </w:rPr>
            </w:pPr>
            <w:r>
              <w:rPr>
                <w:rFonts w:hint="eastAsia" w:ascii="仿宋" w:hAnsi="仿宋" w:eastAsia="仿宋"/>
                <w:b/>
                <w:sz w:val="24"/>
                <w:szCs w:val="28"/>
              </w:rPr>
              <w:t>总价（元）</w:t>
            </w:r>
          </w:p>
        </w:tc>
        <w:tc>
          <w:tcPr>
            <w:tcW w:w="863" w:type="dxa"/>
            <w:vAlign w:val="center"/>
          </w:tcPr>
          <w:p>
            <w:pPr>
              <w:overflowPunct w:val="0"/>
              <w:jc w:val="center"/>
              <w:rPr>
                <w:rFonts w:ascii="仿宋" w:hAnsi="仿宋" w:eastAsia="仿宋"/>
                <w:b/>
                <w:sz w:val="24"/>
                <w:szCs w:val="28"/>
              </w:rPr>
            </w:pPr>
            <w:r>
              <w:rPr>
                <w:rFonts w:hint="eastAsia" w:ascii="仿宋" w:hAnsi="仿宋" w:eastAsia="仿宋"/>
                <w:b/>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6" w:type="dxa"/>
            <w:vAlign w:val="center"/>
          </w:tcPr>
          <w:p>
            <w:pPr>
              <w:overflowPunct w:val="0"/>
              <w:jc w:val="center"/>
              <w:rPr>
                <w:rFonts w:ascii="仿宋" w:hAnsi="仿宋" w:eastAsia="仿宋"/>
                <w:sz w:val="28"/>
                <w:szCs w:val="28"/>
              </w:rPr>
            </w:pPr>
          </w:p>
        </w:tc>
        <w:tc>
          <w:tcPr>
            <w:tcW w:w="2011" w:type="dxa"/>
            <w:vAlign w:val="center"/>
          </w:tcPr>
          <w:p>
            <w:pPr>
              <w:overflowPunct w:val="0"/>
              <w:jc w:val="center"/>
              <w:rPr>
                <w:rFonts w:ascii="仿宋" w:hAnsi="仿宋" w:eastAsia="仿宋"/>
                <w:sz w:val="28"/>
                <w:szCs w:val="28"/>
              </w:rPr>
            </w:pPr>
            <w:r>
              <w:rPr>
                <w:rFonts w:hint="eastAsia" w:ascii="仿宋" w:hAnsi="仿宋" w:eastAsia="仿宋"/>
                <w:sz w:val="28"/>
                <w:szCs w:val="28"/>
              </w:rPr>
              <w:t>例如：摄像头</w:t>
            </w:r>
          </w:p>
        </w:tc>
        <w:tc>
          <w:tcPr>
            <w:tcW w:w="1276" w:type="dxa"/>
            <w:vAlign w:val="center"/>
          </w:tcPr>
          <w:p>
            <w:pPr>
              <w:overflowPunct w:val="0"/>
              <w:jc w:val="center"/>
              <w:rPr>
                <w:rFonts w:ascii="仿宋" w:hAnsi="仿宋" w:eastAsia="仿宋"/>
                <w:sz w:val="28"/>
                <w:szCs w:val="28"/>
              </w:rPr>
            </w:pPr>
          </w:p>
        </w:tc>
        <w:tc>
          <w:tcPr>
            <w:tcW w:w="992" w:type="dxa"/>
            <w:vAlign w:val="center"/>
          </w:tcPr>
          <w:p>
            <w:pPr>
              <w:overflowPunct w:val="0"/>
              <w:jc w:val="center"/>
              <w:rPr>
                <w:rFonts w:ascii="仿宋" w:hAnsi="仿宋" w:eastAsia="仿宋"/>
                <w:sz w:val="28"/>
                <w:szCs w:val="28"/>
              </w:rPr>
            </w:pPr>
          </w:p>
        </w:tc>
        <w:tc>
          <w:tcPr>
            <w:tcW w:w="1418" w:type="dxa"/>
          </w:tcPr>
          <w:p>
            <w:pPr>
              <w:overflowPunct w:val="0"/>
              <w:jc w:val="center"/>
              <w:rPr>
                <w:rFonts w:ascii="仿宋" w:hAnsi="仿宋" w:eastAsia="仿宋"/>
                <w:sz w:val="28"/>
                <w:szCs w:val="28"/>
              </w:rPr>
            </w:pPr>
          </w:p>
        </w:tc>
        <w:tc>
          <w:tcPr>
            <w:tcW w:w="1134"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863"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6" w:type="dxa"/>
            <w:vAlign w:val="center"/>
          </w:tcPr>
          <w:p>
            <w:pPr>
              <w:overflowPunct w:val="0"/>
              <w:jc w:val="center"/>
              <w:rPr>
                <w:rFonts w:ascii="仿宋" w:hAnsi="仿宋" w:eastAsia="仿宋"/>
                <w:sz w:val="28"/>
                <w:szCs w:val="28"/>
              </w:rPr>
            </w:pPr>
          </w:p>
        </w:tc>
        <w:tc>
          <w:tcPr>
            <w:tcW w:w="2011" w:type="dxa"/>
            <w:vAlign w:val="center"/>
          </w:tcPr>
          <w:p>
            <w:pPr>
              <w:overflowPunct w:val="0"/>
              <w:jc w:val="center"/>
              <w:rPr>
                <w:rFonts w:ascii="仿宋" w:hAnsi="仿宋" w:eastAsia="仿宋"/>
                <w:sz w:val="28"/>
                <w:szCs w:val="28"/>
              </w:rPr>
            </w:pPr>
            <w:r>
              <w:rPr>
                <w:rFonts w:hint="eastAsia" w:ascii="仿宋" w:hAnsi="仿宋" w:eastAsia="仿宋"/>
                <w:sz w:val="28"/>
                <w:szCs w:val="28"/>
              </w:rPr>
              <w:t>硬件维护</w:t>
            </w:r>
          </w:p>
        </w:tc>
        <w:tc>
          <w:tcPr>
            <w:tcW w:w="1276" w:type="dxa"/>
            <w:vAlign w:val="center"/>
          </w:tcPr>
          <w:p>
            <w:pPr>
              <w:overflowPunct w:val="0"/>
              <w:jc w:val="center"/>
              <w:rPr>
                <w:rFonts w:ascii="仿宋" w:hAnsi="仿宋" w:eastAsia="仿宋"/>
                <w:sz w:val="28"/>
                <w:szCs w:val="28"/>
              </w:rPr>
            </w:pPr>
          </w:p>
        </w:tc>
        <w:tc>
          <w:tcPr>
            <w:tcW w:w="992" w:type="dxa"/>
            <w:vAlign w:val="center"/>
          </w:tcPr>
          <w:p>
            <w:pPr>
              <w:overflowPunct w:val="0"/>
              <w:jc w:val="center"/>
              <w:rPr>
                <w:rFonts w:ascii="仿宋" w:hAnsi="仿宋" w:eastAsia="仿宋"/>
                <w:sz w:val="28"/>
                <w:szCs w:val="28"/>
              </w:rPr>
            </w:pPr>
          </w:p>
        </w:tc>
        <w:tc>
          <w:tcPr>
            <w:tcW w:w="1418" w:type="dxa"/>
          </w:tcPr>
          <w:p>
            <w:pPr>
              <w:overflowPunct w:val="0"/>
              <w:jc w:val="center"/>
              <w:rPr>
                <w:rFonts w:ascii="仿宋" w:hAnsi="仿宋" w:eastAsia="仿宋"/>
                <w:sz w:val="28"/>
                <w:szCs w:val="28"/>
              </w:rPr>
            </w:pPr>
          </w:p>
        </w:tc>
        <w:tc>
          <w:tcPr>
            <w:tcW w:w="1134"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863"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6" w:type="dxa"/>
            <w:vAlign w:val="center"/>
          </w:tcPr>
          <w:p>
            <w:pPr>
              <w:overflowPunct w:val="0"/>
              <w:jc w:val="center"/>
              <w:rPr>
                <w:rFonts w:ascii="仿宋" w:hAnsi="仿宋" w:eastAsia="仿宋"/>
                <w:sz w:val="28"/>
                <w:szCs w:val="28"/>
              </w:rPr>
            </w:pPr>
          </w:p>
        </w:tc>
        <w:tc>
          <w:tcPr>
            <w:tcW w:w="2011" w:type="dxa"/>
            <w:vAlign w:val="center"/>
          </w:tcPr>
          <w:p>
            <w:pPr>
              <w:overflowPunct w:val="0"/>
              <w:jc w:val="center"/>
              <w:rPr>
                <w:rFonts w:ascii="仿宋" w:hAnsi="仿宋" w:eastAsia="仿宋"/>
                <w:sz w:val="28"/>
                <w:szCs w:val="28"/>
              </w:rPr>
            </w:pPr>
            <w:r>
              <w:rPr>
                <w:rFonts w:hint="eastAsia" w:ascii="仿宋" w:hAnsi="仿宋" w:eastAsia="仿宋"/>
                <w:sz w:val="28"/>
                <w:szCs w:val="28"/>
              </w:rPr>
              <w:t>人工成本</w:t>
            </w:r>
          </w:p>
        </w:tc>
        <w:tc>
          <w:tcPr>
            <w:tcW w:w="1276" w:type="dxa"/>
            <w:vAlign w:val="center"/>
          </w:tcPr>
          <w:p>
            <w:pPr>
              <w:overflowPunct w:val="0"/>
              <w:jc w:val="center"/>
              <w:rPr>
                <w:rFonts w:ascii="仿宋" w:hAnsi="仿宋" w:eastAsia="仿宋"/>
                <w:sz w:val="28"/>
                <w:szCs w:val="28"/>
              </w:rPr>
            </w:pPr>
          </w:p>
        </w:tc>
        <w:tc>
          <w:tcPr>
            <w:tcW w:w="992" w:type="dxa"/>
            <w:vAlign w:val="center"/>
          </w:tcPr>
          <w:p>
            <w:pPr>
              <w:overflowPunct w:val="0"/>
              <w:jc w:val="center"/>
              <w:rPr>
                <w:rFonts w:ascii="仿宋" w:hAnsi="仿宋" w:eastAsia="仿宋"/>
                <w:sz w:val="28"/>
                <w:szCs w:val="28"/>
              </w:rPr>
            </w:pPr>
          </w:p>
        </w:tc>
        <w:tc>
          <w:tcPr>
            <w:tcW w:w="1418" w:type="dxa"/>
          </w:tcPr>
          <w:p>
            <w:pPr>
              <w:overflowPunct w:val="0"/>
              <w:jc w:val="center"/>
              <w:rPr>
                <w:rFonts w:ascii="仿宋" w:hAnsi="仿宋" w:eastAsia="仿宋"/>
                <w:sz w:val="28"/>
                <w:szCs w:val="28"/>
              </w:rPr>
            </w:pPr>
          </w:p>
        </w:tc>
        <w:tc>
          <w:tcPr>
            <w:tcW w:w="1134"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863"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6" w:type="dxa"/>
            <w:vAlign w:val="center"/>
          </w:tcPr>
          <w:p>
            <w:pPr>
              <w:overflowPunct w:val="0"/>
              <w:jc w:val="center"/>
              <w:rPr>
                <w:rFonts w:ascii="仿宋" w:hAnsi="仿宋" w:eastAsia="仿宋"/>
                <w:sz w:val="28"/>
                <w:szCs w:val="28"/>
              </w:rPr>
            </w:pPr>
          </w:p>
        </w:tc>
        <w:tc>
          <w:tcPr>
            <w:tcW w:w="2011" w:type="dxa"/>
            <w:vAlign w:val="center"/>
          </w:tcPr>
          <w:p>
            <w:pPr>
              <w:overflowPunct w:val="0"/>
              <w:jc w:val="center"/>
              <w:rPr>
                <w:rFonts w:ascii="仿宋" w:hAnsi="仿宋" w:eastAsia="仿宋"/>
                <w:sz w:val="28"/>
                <w:szCs w:val="28"/>
              </w:rPr>
            </w:pPr>
            <w:r>
              <w:rPr>
                <w:rFonts w:hint="eastAsia" w:ascii="仿宋" w:hAnsi="仿宋" w:eastAsia="仿宋"/>
                <w:sz w:val="28"/>
                <w:szCs w:val="28"/>
              </w:rPr>
              <w:t>税费等</w:t>
            </w:r>
          </w:p>
        </w:tc>
        <w:tc>
          <w:tcPr>
            <w:tcW w:w="1276" w:type="dxa"/>
            <w:vAlign w:val="center"/>
          </w:tcPr>
          <w:p>
            <w:pPr>
              <w:overflowPunct w:val="0"/>
              <w:jc w:val="center"/>
              <w:rPr>
                <w:rFonts w:ascii="仿宋" w:hAnsi="仿宋" w:eastAsia="仿宋"/>
                <w:sz w:val="28"/>
                <w:szCs w:val="28"/>
              </w:rPr>
            </w:pPr>
          </w:p>
        </w:tc>
        <w:tc>
          <w:tcPr>
            <w:tcW w:w="992" w:type="dxa"/>
            <w:vAlign w:val="center"/>
          </w:tcPr>
          <w:p>
            <w:pPr>
              <w:overflowPunct w:val="0"/>
              <w:jc w:val="center"/>
              <w:rPr>
                <w:rFonts w:ascii="仿宋" w:hAnsi="仿宋" w:eastAsia="仿宋"/>
                <w:sz w:val="28"/>
                <w:szCs w:val="28"/>
              </w:rPr>
            </w:pPr>
          </w:p>
        </w:tc>
        <w:tc>
          <w:tcPr>
            <w:tcW w:w="1418" w:type="dxa"/>
          </w:tcPr>
          <w:p>
            <w:pPr>
              <w:overflowPunct w:val="0"/>
              <w:jc w:val="center"/>
              <w:rPr>
                <w:rFonts w:ascii="仿宋" w:hAnsi="仿宋" w:eastAsia="仿宋"/>
                <w:sz w:val="28"/>
                <w:szCs w:val="28"/>
              </w:rPr>
            </w:pPr>
          </w:p>
        </w:tc>
        <w:tc>
          <w:tcPr>
            <w:tcW w:w="1134"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863"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6" w:type="dxa"/>
            <w:vAlign w:val="center"/>
          </w:tcPr>
          <w:p>
            <w:pPr>
              <w:overflowPunct w:val="0"/>
              <w:jc w:val="center"/>
              <w:rPr>
                <w:rFonts w:ascii="仿宋" w:hAnsi="仿宋" w:eastAsia="仿宋"/>
                <w:sz w:val="28"/>
                <w:szCs w:val="28"/>
              </w:rPr>
            </w:pPr>
          </w:p>
        </w:tc>
        <w:tc>
          <w:tcPr>
            <w:tcW w:w="2011"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992" w:type="dxa"/>
            <w:vAlign w:val="center"/>
          </w:tcPr>
          <w:p>
            <w:pPr>
              <w:overflowPunct w:val="0"/>
              <w:jc w:val="center"/>
              <w:rPr>
                <w:rFonts w:ascii="仿宋" w:hAnsi="仿宋" w:eastAsia="仿宋"/>
                <w:sz w:val="28"/>
                <w:szCs w:val="28"/>
              </w:rPr>
            </w:pPr>
          </w:p>
        </w:tc>
        <w:tc>
          <w:tcPr>
            <w:tcW w:w="1418" w:type="dxa"/>
          </w:tcPr>
          <w:p>
            <w:pPr>
              <w:overflowPunct w:val="0"/>
              <w:jc w:val="center"/>
              <w:rPr>
                <w:rFonts w:ascii="仿宋" w:hAnsi="仿宋" w:eastAsia="仿宋"/>
                <w:sz w:val="28"/>
                <w:szCs w:val="28"/>
              </w:rPr>
            </w:pPr>
          </w:p>
        </w:tc>
        <w:tc>
          <w:tcPr>
            <w:tcW w:w="1134"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863"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6" w:type="dxa"/>
            <w:vAlign w:val="center"/>
          </w:tcPr>
          <w:p>
            <w:pPr>
              <w:overflowPunct w:val="0"/>
              <w:jc w:val="center"/>
              <w:rPr>
                <w:rFonts w:ascii="仿宋" w:hAnsi="仿宋" w:eastAsia="仿宋"/>
                <w:sz w:val="28"/>
                <w:szCs w:val="28"/>
              </w:rPr>
            </w:pPr>
          </w:p>
        </w:tc>
        <w:tc>
          <w:tcPr>
            <w:tcW w:w="2011"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992" w:type="dxa"/>
            <w:vAlign w:val="center"/>
          </w:tcPr>
          <w:p>
            <w:pPr>
              <w:overflowPunct w:val="0"/>
              <w:jc w:val="center"/>
              <w:rPr>
                <w:rFonts w:ascii="仿宋" w:hAnsi="仿宋" w:eastAsia="仿宋"/>
                <w:sz w:val="28"/>
                <w:szCs w:val="28"/>
              </w:rPr>
            </w:pPr>
          </w:p>
        </w:tc>
        <w:tc>
          <w:tcPr>
            <w:tcW w:w="1418" w:type="dxa"/>
          </w:tcPr>
          <w:p>
            <w:pPr>
              <w:overflowPunct w:val="0"/>
              <w:jc w:val="center"/>
              <w:rPr>
                <w:rFonts w:ascii="仿宋" w:hAnsi="仿宋" w:eastAsia="仿宋"/>
                <w:sz w:val="28"/>
                <w:szCs w:val="28"/>
              </w:rPr>
            </w:pPr>
          </w:p>
        </w:tc>
        <w:tc>
          <w:tcPr>
            <w:tcW w:w="1134"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863"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6" w:type="dxa"/>
            <w:vAlign w:val="center"/>
          </w:tcPr>
          <w:p>
            <w:pPr>
              <w:overflowPunct w:val="0"/>
              <w:jc w:val="center"/>
              <w:rPr>
                <w:rFonts w:ascii="仿宋" w:hAnsi="仿宋" w:eastAsia="仿宋"/>
                <w:sz w:val="28"/>
                <w:szCs w:val="28"/>
              </w:rPr>
            </w:pPr>
          </w:p>
        </w:tc>
        <w:tc>
          <w:tcPr>
            <w:tcW w:w="2011"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992" w:type="dxa"/>
            <w:vAlign w:val="center"/>
          </w:tcPr>
          <w:p>
            <w:pPr>
              <w:overflowPunct w:val="0"/>
              <w:jc w:val="center"/>
              <w:rPr>
                <w:rFonts w:ascii="仿宋" w:hAnsi="仿宋" w:eastAsia="仿宋"/>
                <w:sz w:val="28"/>
                <w:szCs w:val="28"/>
              </w:rPr>
            </w:pPr>
          </w:p>
        </w:tc>
        <w:tc>
          <w:tcPr>
            <w:tcW w:w="1418" w:type="dxa"/>
          </w:tcPr>
          <w:p>
            <w:pPr>
              <w:overflowPunct w:val="0"/>
              <w:jc w:val="center"/>
              <w:rPr>
                <w:rFonts w:ascii="仿宋" w:hAnsi="仿宋" w:eastAsia="仿宋"/>
                <w:sz w:val="28"/>
                <w:szCs w:val="28"/>
              </w:rPr>
            </w:pPr>
          </w:p>
        </w:tc>
        <w:tc>
          <w:tcPr>
            <w:tcW w:w="1134"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863"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6" w:type="dxa"/>
            <w:vAlign w:val="center"/>
          </w:tcPr>
          <w:p>
            <w:pPr>
              <w:overflowPunct w:val="0"/>
              <w:jc w:val="center"/>
              <w:rPr>
                <w:rFonts w:ascii="仿宋" w:hAnsi="仿宋" w:eastAsia="仿宋"/>
                <w:sz w:val="28"/>
                <w:szCs w:val="28"/>
              </w:rPr>
            </w:pPr>
          </w:p>
        </w:tc>
        <w:tc>
          <w:tcPr>
            <w:tcW w:w="2011" w:type="dxa"/>
            <w:vAlign w:val="center"/>
          </w:tcPr>
          <w:p>
            <w:pPr>
              <w:overflowPunct w:val="0"/>
              <w:jc w:val="center"/>
              <w:rPr>
                <w:rFonts w:ascii="仿宋" w:hAnsi="仿宋" w:eastAsia="仿宋"/>
                <w:sz w:val="28"/>
                <w:szCs w:val="28"/>
                <w:highlight w:val="yellow"/>
              </w:rPr>
            </w:pPr>
          </w:p>
        </w:tc>
        <w:tc>
          <w:tcPr>
            <w:tcW w:w="1276" w:type="dxa"/>
            <w:vAlign w:val="center"/>
          </w:tcPr>
          <w:p>
            <w:pPr>
              <w:overflowPunct w:val="0"/>
              <w:jc w:val="center"/>
              <w:rPr>
                <w:rFonts w:ascii="仿宋" w:hAnsi="仿宋" w:eastAsia="仿宋"/>
                <w:sz w:val="28"/>
                <w:szCs w:val="28"/>
                <w:highlight w:val="yellow"/>
              </w:rPr>
            </w:pPr>
          </w:p>
        </w:tc>
        <w:tc>
          <w:tcPr>
            <w:tcW w:w="992" w:type="dxa"/>
            <w:vAlign w:val="center"/>
          </w:tcPr>
          <w:p>
            <w:pPr>
              <w:overflowPunct w:val="0"/>
              <w:jc w:val="center"/>
              <w:rPr>
                <w:rFonts w:ascii="仿宋" w:hAnsi="仿宋" w:eastAsia="仿宋"/>
                <w:sz w:val="28"/>
                <w:szCs w:val="28"/>
              </w:rPr>
            </w:pPr>
          </w:p>
        </w:tc>
        <w:tc>
          <w:tcPr>
            <w:tcW w:w="1418" w:type="dxa"/>
          </w:tcPr>
          <w:p>
            <w:pPr>
              <w:overflowPunct w:val="0"/>
              <w:jc w:val="center"/>
              <w:rPr>
                <w:rFonts w:ascii="仿宋" w:hAnsi="仿宋" w:eastAsia="仿宋"/>
                <w:sz w:val="28"/>
                <w:szCs w:val="28"/>
              </w:rPr>
            </w:pPr>
          </w:p>
        </w:tc>
        <w:tc>
          <w:tcPr>
            <w:tcW w:w="1134"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863"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6" w:type="dxa"/>
            <w:vAlign w:val="center"/>
          </w:tcPr>
          <w:p>
            <w:pPr>
              <w:overflowPunct w:val="0"/>
              <w:jc w:val="center"/>
              <w:rPr>
                <w:rFonts w:ascii="仿宋" w:hAnsi="仿宋" w:eastAsia="仿宋"/>
                <w:sz w:val="28"/>
                <w:szCs w:val="28"/>
              </w:rPr>
            </w:pPr>
          </w:p>
        </w:tc>
        <w:tc>
          <w:tcPr>
            <w:tcW w:w="2011"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992" w:type="dxa"/>
            <w:vAlign w:val="center"/>
          </w:tcPr>
          <w:p>
            <w:pPr>
              <w:overflowPunct w:val="0"/>
              <w:jc w:val="center"/>
              <w:rPr>
                <w:rFonts w:ascii="仿宋" w:hAnsi="仿宋" w:eastAsia="仿宋"/>
                <w:sz w:val="28"/>
                <w:szCs w:val="28"/>
              </w:rPr>
            </w:pPr>
          </w:p>
        </w:tc>
        <w:tc>
          <w:tcPr>
            <w:tcW w:w="1418" w:type="dxa"/>
          </w:tcPr>
          <w:p>
            <w:pPr>
              <w:overflowPunct w:val="0"/>
              <w:jc w:val="center"/>
              <w:rPr>
                <w:rFonts w:ascii="仿宋" w:hAnsi="仿宋" w:eastAsia="仿宋"/>
                <w:sz w:val="28"/>
                <w:szCs w:val="28"/>
              </w:rPr>
            </w:pPr>
          </w:p>
        </w:tc>
        <w:tc>
          <w:tcPr>
            <w:tcW w:w="1134"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863"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6" w:type="dxa"/>
            <w:vAlign w:val="center"/>
          </w:tcPr>
          <w:p>
            <w:pPr>
              <w:overflowPunct w:val="0"/>
              <w:jc w:val="center"/>
              <w:rPr>
                <w:rFonts w:ascii="仿宋" w:hAnsi="仿宋" w:eastAsia="仿宋"/>
                <w:sz w:val="28"/>
                <w:szCs w:val="28"/>
              </w:rPr>
            </w:pPr>
          </w:p>
        </w:tc>
        <w:tc>
          <w:tcPr>
            <w:tcW w:w="2011"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992" w:type="dxa"/>
            <w:vAlign w:val="center"/>
          </w:tcPr>
          <w:p>
            <w:pPr>
              <w:overflowPunct w:val="0"/>
              <w:jc w:val="center"/>
              <w:rPr>
                <w:rFonts w:ascii="仿宋" w:hAnsi="仿宋" w:eastAsia="仿宋"/>
                <w:sz w:val="28"/>
                <w:szCs w:val="28"/>
              </w:rPr>
            </w:pPr>
          </w:p>
        </w:tc>
        <w:tc>
          <w:tcPr>
            <w:tcW w:w="1418" w:type="dxa"/>
          </w:tcPr>
          <w:p>
            <w:pPr>
              <w:overflowPunct w:val="0"/>
              <w:jc w:val="center"/>
              <w:rPr>
                <w:rFonts w:ascii="仿宋" w:hAnsi="仿宋" w:eastAsia="仿宋"/>
                <w:sz w:val="28"/>
                <w:szCs w:val="28"/>
              </w:rPr>
            </w:pPr>
          </w:p>
        </w:tc>
        <w:tc>
          <w:tcPr>
            <w:tcW w:w="1134"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863"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97" w:type="dxa"/>
            <w:gridSpan w:val="6"/>
            <w:vAlign w:val="center"/>
          </w:tcPr>
          <w:p>
            <w:pPr>
              <w:overflowPunct w:val="0"/>
              <w:jc w:val="center"/>
              <w:rPr>
                <w:rFonts w:ascii="仿宋" w:hAnsi="仿宋" w:eastAsia="仿宋"/>
                <w:sz w:val="28"/>
                <w:szCs w:val="28"/>
              </w:rPr>
            </w:pPr>
            <w:r>
              <w:rPr>
                <w:rFonts w:hint="eastAsia" w:ascii="仿宋" w:hAnsi="仿宋" w:eastAsia="仿宋"/>
                <w:sz w:val="28"/>
                <w:szCs w:val="28"/>
              </w:rPr>
              <w:t>合计</w:t>
            </w:r>
          </w:p>
        </w:tc>
        <w:tc>
          <w:tcPr>
            <w:tcW w:w="1276" w:type="dxa"/>
            <w:vAlign w:val="center"/>
          </w:tcPr>
          <w:p>
            <w:pPr>
              <w:overflowPunct w:val="0"/>
              <w:jc w:val="center"/>
              <w:rPr>
                <w:rFonts w:ascii="仿宋" w:hAnsi="仿宋" w:eastAsia="仿宋"/>
                <w:sz w:val="28"/>
                <w:szCs w:val="28"/>
              </w:rPr>
            </w:pPr>
          </w:p>
        </w:tc>
        <w:tc>
          <w:tcPr>
            <w:tcW w:w="863" w:type="dxa"/>
          </w:tcPr>
          <w:p>
            <w:pPr>
              <w:overflowPunct w:val="0"/>
              <w:jc w:val="center"/>
              <w:rPr>
                <w:rFonts w:ascii="仿宋" w:hAnsi="仿宋" w:eastAsia="仿宋"/>
                <w:sz w:val="28"/>
                <w:szCs w:val="28"/>
              </w:rPr>
            </w:pPr>
          </w:p>
        </w:tc>
      </w:tr>
    </w:tbl>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pStyle w:val="3"/>
        <w:overflowPunct w:val="0"/>
        <w:spacing w:line="415" w:lineRule="auto"/>
        <w:rPr>
          <w:rFonts w:ascii="仿宋" w:hAnsi="仿宋" w:eastAsia="仿宋"/>
        </w:rPr>
      </w:pPr>
      <w:bookmarkStart w:id="41" w:name="_Toc359315317"/>
      <w:bookmarkStart w:id="42" w:name="_Toc482106471"/>
      <w:bookmarkStart w:id="43" w:name="_Toc508179922"/>
      <w:bookmarkStart w:id="44" w:name="_Toc511901343"/>
      <w:bookmarkStart w:id="45" w:name="_Toc515961881"/>
      <w:r>
        <w:rPr>
          <w:rFonts w:hint="eastAsia" w:ascii="仿宋" w:hAnsi="仿宋" w:eastAsia="仿宋"/>
        </w:rPr>
        <w:t>格式六：</w:t>
      </w:r>
      <w:bookmarkEnd w:id="41"/>
      <w:bookmarkEnd w:id="42"/>
      <w:bookmarkEnd w:id="43"/>
      <w:bookmarkEnd w:id="44"/>
      <w:bookmarkEnd w:id="45"/>
    </w:p>
    <w:p>
      <w:pPr>
        <w:overflowPunct w:val="0"/>
        <w:ind w:firstLine="560" w:firstLineChars="200"/>
        <w:jc w:val="center"/>
        <w:rPr>
          <w:rFonts w:ascii="仿宋" w:hAnsi="仿宋" w:eastAsia="仿宋"/>
          <w:color w:val="000000"/>
          <w:sz w:val="28"/>
          <w:szCs w:val="28"/>
        </w:rPr>
      </w:pPr>
      <w:r>
        <w:rPr>
          <w:rFonts w:hint="eastAsia" w:ascii="仿宋" w:hAnsi="仿宋" w:eastAsia="仿宋"/>
          <w:color w:val="000000"/>
          <w:sz w:val="28"/>
          <w:szCs w:val="28"/>
        </w:rPr>
        <w:t>项目服务方案、服务承诺和质量保证</w:t>
      </w:r>
    </w:p>
    <w:p>
      <w:pPr>
        <w:overflowPunct w:val="0"/>
        <w:autoSpaceDE w:val="0"/>
        <w:autoSpaceDN w:val="0"/>
        <w:spacing w:line="4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供应商可根据采购文件要求自行编写，服务方案、服务承诺、质量保证尽可能详细、全面，否则有可能影响供应商的得分。</w:t>
      </w:r>
    </w:p>
    <w:p>
      <w:pPr>
        <w:overflowPunct w:val="0"/>
        <w:autoSpaceDE w:val="0"/>
        <w:autoSpaceDN w:val="0"/>
        <w:spacing w:line="4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注:投标人需要注明实施方案及工期。</w:t>
      </w:r>
    </w:p>
    <w:p>
      <w:pPr>
        <w:pStyle w:val="3"/>
        <w:overflowPunct w:val="0"/>
        <w:spacing w:line="415" w:lineRule="auto"/>
        <w:rPr>
          <w:rFonts w:ascii="仿宋" w:hAnsi="仿宋" w:eastAsia="仿宋"/>
        </w:rPr>
      </w:pPr>
      <w:bookmarkStart w:id="46" w:name="_Toc482106472"/>
      <w:bookmarkStart w:id="47" w:name="_Toc508179923"/>
      <w:bookmarkStart w:id="48" w:name="_Toc511901344"/>
      <w:bookmarkStart w:id="49" w:name="_Toc515961882"/>
      <w:r>
        <w:rPr>
          <w:rFonts w:hint="eastAsia" w:ascii="仿宋" w:hAnsi="仿宋" w:eastAsia="仿宋"/>
        </w:rPr>
        <w:t>格式七：</w:t>
      </w:r>
      <w:bookmarkEnd w:id="46"/>
      <w:bookmarkEnd w:id="47"/>
      <w:bookmarkEnd w:id="48"/>
      <w:bookmarkEnd w:id="49"/>
    </w:p>
    <w:p>
      <w:pPr>
        <w:overflowPunct w:val="0"/>
        <w:autoSpaceDE w:val="0"/>
        <w:autoSpaceDN w:val="0"/>
        <w:spacing w:line="460" w:lineRule="exact"/>
        <w:ind w:firstLine="560" w:firstLineChars="200"/>
        <w:jc w:val="left"/>
        <w:rPr>
          <w:rFonts w:ascii="仿宋" w:hAnsi="仿宋" w:eastAsia="仿宋"/>
          <w:color w:val="000000"/>
          <w:sz w:val="28"/>
          <w:szCs w:val="28"/>
        </w:rPr>
      </w:pPr>
      <w:r>
        <w:rPr>
          <w:rFonts w:hint="eastAsia" w:ascii="仿宋" w:hAnsi="仿宋" w:eastAsia="仿宋"/>
          <w:color w:val="000000"/>
          <w:sz w:val="28"/>
          <w:szCs w:val="28"/>
        </w:rPr>
        <w:t>供应商须在投标文件中提供企业工商注册所在地或项目所在地检察机关出具的《检察机关行贿犯罪档案查询结果告知函》（在有效期范围内）</w:t>
      </w:r>
    </w:p>
    <w:p>
      <w:pPr>
        <w:pStyle w:val="3"/>
        <w:overflowPunct w:val="0"/>
        <w:spacing w:line="415" w:lineRule="auto"/>
        <w:rPr>
          <w:rFonts w:ascii="仿宋" w:hAnsi="仿宋" w:eastAsia="仿宋"/>
        </w:rPr>
      </w:pPr>
      <w:bookmarkStart w:id="50" w:name="_Toc482106473"/>
      <w:bookmarkStart w:id="51" w:name="_Toc508179924"/>
      <w:bookmarkStart w:id="52" w:name="_Toc511901345"/>
      <w:bookmarkStart w:id="53" w:name="_Toc515961883"/>
      <w:r>
        <w:rPr>
          <w:rFonts w:hint="eastAsia" w:ascii="仿宋" w:hAnsi="仿宋" w:eastAsia="仿宋"/>
        </w:rPr>
        <w:t>格式八：</w:t>
      </w:r>
      <w:bookmarkEnd w:id="50"/>
      <w:bookmarkEnd w:id="51"/>
      <w:bookmarkEnd w:id="52"/>
      <w:bookmarkEnd w:id="53"/>
      <w:r>
        <w:rPr>
          <w:rFonts w:ascii="仿宋" w:hAnsi="仿宋" w:eastAsia="仿宋"/>
        </w:rPr>
        <w:t xml:space="preserve"> </w:t>
      </w:r>
    </w:p>
    <w:p>
      <w:pPr>
        <w:overflowPunct w:val="0"/>
        <w:ind w:firstLine="560" w:firstLineChars="200"/>
        <w:jc w:val="left"/>
        <w:rPr>
          <w:rFonts w:ascii="仿宋" w:hAnsi="仿宋" w:eastAsia="仿宋"/>
          <w:b/>
          <w:color w:val="000000"/>
          <w:sz w:val="36"/>
          <w:szCs w:val="36"/>
        </w:rPr>
      </w:pPr>
      <w:r>
        <w:rPr>
          <w:rFonts w:hint="eastAsia" w:ascii="仿宋" w:hAnsi="仿宋" w:eastAsia="仿宋"/>
          <w:color w:val="000000"/>
          <w:sz w:val="28"/>
          <w:szCs w:val="28"/>
        </w:rPr>
        <w:t>其他相关证明材料</w:t>
      </w:r>
    </w:p>
    <w:p>
      <w:pPr>
        <w:pStyle w:val="2"/>
        <w:spacing w:line="360" w:lineRule="auto"/>
      </w:pPr>
    </w:p>
    <w:sectPr>
      <w:pgSz w:w="11906" w:h="16838"/>
      <w:pgMar w:top="1134" w:right="1077" w:bottom="1134" w:left="1077"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PAGE   \* MERGEFORMAT</w:instrText>
    </w:r>
    <w:r>
      <w:fldChar w:fldCharType="separate"/>
    </w:r>
    <w:r>
      <w:rPr>
        <w:lang w:val="zh-CN"/>
      </w:rPr>
      <w:t>13</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cs="宋体"/>
        <w:sz w:val="21"/>
        <w:szCs w:val="21"/>
      </w:rPr>
    </w:pPr>
    <w:r>
      <w:rPr>
        <w:rFonts w:hint="eastAsia" w:cs="宋体"/>
        <w:sz w:val="21"/>
        <w:szCs w:val="21"/>
      </w:rPr>
      <w:t>鄂尔多斯机场物业服务有限公司采购文件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AD032E"/>
    <w:multiLevelType w:val="singleLevel"/>
    <w:tmpl w:val="55AD032E"/>
    <w:lvl w:ilvl="0" w:tentative="0">
      <w:start w:val="3"/>
      <w:numFmt w:val="decimal"/>
      <w:suff w:val="nothing"/>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doNotUseMarginsForDrawingGridOrigin w:val="1"/>
  <w:drawingGridHorizontalOrigin w:val="1077"/>
  <w:drawingGridVerticalOrigin w:val="1134"/>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92DDD"/>
    <w:rsid w:val="00003CD1"/>
    <w:rsid w:val="000438F7"/>
    <w:rsid w:val="00063B0F"/>
    <w:rsid w:val="000733A6"/>
    <w:rsid w:val="000A3A54"/>
    <w:rsid w:val="000A76B5"/>
    <w:rsid w:val="00104CBC"/>
    <w:rsid w:val="00113BAC"/>
    <w:rsid w:val="00135F55"/>
    <w:rsid w:val="00172C2B"/>
    <w:rsid w:val="00180DDF"/>
    <w:rsid w:val="001909E9"/>
    <w:rsid w:val="001B14AB"/>
    <w:rsid w:val="001C3FFE"/>
    <w:rsid w:val="001F472D"/>
    <w:rsid w:val="0021501E"/>
    <w:rsid w:val="00236744"/>
    <w:rsid w:val="00254801"/>
    <w:rsid w:val="002676F9"/>
    <w:rsid w:val="00273511"/>
    <w:rsid w:val="002A5D64"/>
    <w:rsid w:val="002A7BBF"/>
    <w:rsid w:val="002B347F"/>
    <w:rsid w:val="00304A7A"/>
    <w:rsid w:val="00316234"/>
    <w:rsid w:val="0032183A"/>
    <w:rsid w:val="003222FF"/>
    <w:rsid w:val="003342F0"/>
    <w:rsid w:val="0034197D"/>
    <w:rsid w:val="00392684"/>
    <w:rsid w:val="003A7117"/>
    <w:rsid w:val="003C3565"/>
    <w:rsid w:val="003E129A"/>
    <w:rsid w:val="003E40FE"/>
    <w:rsid w:val="004066FE"/>
    <w:rsid w:val="00417D07"/>
    <w:rsid w:val="00443ADB"/>
    <w:rsid w:val="004A1FE8"/>
    <w:rsid w:val="004A6A0B"/>
    <w:rsid w:val="004A6B29"/>
    <w:rsid w:val="004B075F"/>
    <w:rsid w:val="004C6926"/>
    <w:rsid w:val="004E6335"/>
    <w:rsid w:val="004F220C"/>
    <w:rsid w:val="00501010"/>
    <w:rsid w:val="00505014"/>
    <w:rsid w:val="005121F0"/>
    <w:rsid w:val="0052054D"/>
    <w:rsid w:val="00520B66"/>
    <w:rsid w:val="00527EB7"/>
    <w:rsid w:val="00531DBB"/>
    <w:rsid w:val="005367FB"/>
    <w:rsid w:val="005479D8"/>
    <w:rsid w:val="00556BBF"/>
    <w:rsid w:val="00562D0D"/>
    <w:rsid w:val="00581B07"/>
    <w:rsid w:val="00593F6D"/>
    <w:rsid w:val="00597E9E"/>
    <w:rsid w:val="005A256F"/>
    <w:rsid w:val="005B660B"/>
    <w:rsid w:val="005D1441"/>
    <w:rsid w:val="005D3104"/>
    <w:rsid w:val="005D3703"/>
    <w:rsid w:val="005D4EB2"/>
    <w:rsid w:val="005E4FB4"/>
    <w:rsid w:val="00611635"/>
    <w:rsid w:val="00611861"/>
    <w:rsid w:val="00611DF0"/>
    <w:rsid w:val="00613E47"/>
    <w:rsid w:val="00616C30"/>
    <w:rsid w:val="00631E39"/>
    <w:rsid w:val="00662F23"/>
    <w:rsid w:val="00670C15"/>
    <w:rsid w:val="00673A0D"/>
    <w:rsid w:val="0069177F"/>
    <w:rsid w:val="006A5181"/>
    <w:rsid w:val="006B3F87"/>
    <w:rsid w:val="006E70C4"/>
    <w:rsid w:val="007124D2"/>
    <w:rsid w:val="00712D7B"/>
    <w:rsid w:val="00750763"/>
    <w:rsid w:val="007614D6"/>
    <w:rsid w:val="007641FF"/>
    <w:rsid w:val="00774276"/>
    <w:rsid w:val="0079222C"/>
    <w:rsid w:val="007D260C"/>
    <w:rsid w:val="007F188F"/>
    <w:rsid w:val="008044EC"/>
    <w:rsid w:val="00805E4F"/>
    <w:rsid w:val="008223D4"/>
    <w:rsid w:val="008259CB"/>
    <w:rsid w:val="008322DE"/>
    <w:rsid w:val="00844319"/>
    <w:rsid w:val="008546BD"/>
    <w:rsid w:val="008B0CC7"/>
    <w:rsid w:val="008B4F25"/>
    <w:rsid w:val="008C0FBF"/>
    <w:rsid w:val="008C1A89"/>
    <w:rsid w:val="008C560D"/>
    <w:rsid w:val="00904755"/>
    <w:rsid w:val="009B3D09"/>
    <w:rsid w:val="009D5745"/>
    <w:rsid w:val="009F21A5"/>
    <w:rsid w:val="009F57EF"/>
    <w:rsid w:val="00A16B85"/>
    <w:rsid w:val="00A22F05"/>
    <w:rsid w:val="00A30E96"/>
    <w:rsid w:val="00A33034"/>
    <w:rsid w:val="00A56F61"/>
    <w:rsid w:val="00A621DC"/>
    <w:rsid w:val="00A70A3A"/>
    <w:rsid w:val="00A71AD1"/>
    <w:rsid w:val="00A84168"/>
    <w:rsid w:val="00A93CB7"/>
    <w:rsid w:val="00AB14E7"/>
    <w:rsid w:val="00AB257D"/>
    <w:rsid w:val="00AC6955"/>
    <w:rsid w:val="00B05A5A"/>
    <w:rsid w:val="00B21C42"/>
    <w:rsid w:val="00B222FB"/>
    <w:rsid w:val="00B30537"/>
    <w:rsid w:val="00B326AA"/>
    <w:rsid w:val="00B543E4"/>
    <w:rsid w:val="00B73CDB"/>
    <w:rsid w:val="00B74A6F"/>
    <w:rsid w:val="00BA1F23"/>
    <w:rsid w:val="00BA6275"/>
    <w:rsid w:val="00BC607B"/>
    <w:rsid w:val="00BD3D9B"/>
    <w:rsid w:val="00BE7A5B"/>
    <w:rsid w:val="00BF4F1C"/>
    <w:rsid w:val="00C03E81"/>
    <w:rsid w:val="00C67EED"/>
    <w:rsid w:val="00C71D37"/>
    <w:rsid w:val="00C86D58"/>
    <w:rsid w:val="00CA2922"/>
    <w:rsid w:val="00CA40A8"/>
    <w:rsid w:val="00CB4B9B"/>
    <w:rsid w:val="00CC0703"/>
    <w:rsid w:val="00CC3307"/>
    <w:rsid w:val="00CD6610"/>
    <w:rsid w:val="00D039BC"/>
    <w:rsid w:val="00D16765"/>
    <w:rsid w:val="00D2043D"/>
    <w:rsid w:val="00D44920"/>
    <w:rsid w:val="00D668D8"/>
    <w:rsid w:val="00D919B8"/>
    <w:rsid w:val="00D92DDD"/>
    <w:rsid w:val="00D942FD"/>
    <w:rsid w:val="00D94A21"/>
    <w:rsid w:val="00DB2589"/>
    <w:rsid w:val="00DC6D0A"/>
    <w:rsid w:val="00DD7FB2"/>
    <w:rsid w:val="00E055C1"/>
    <w:rsid w:val="00E117D2"/>
    <w:rsid w:val="00E224E3"/>
    <w:rsid w:val="00E227F9"/>
    <w:rsid w:val="00E263DD"/>
    <w:rsid w:val="00E536A9"/>
    <w:rsid w:val="00E563ED"/>
    <w:rsid w:val="00E602A0"/>
    <w:rsid w:val="00E771CC"/>
    <w:rsid w:val="00E804A7"/>
    <w:rsid w:val="00EE476E"/>
    <w:rsid w:val="00EF69C8"/>
    <w:rsid w:val="00F12206"/>
    <w:rsid w:val="00F138DB"/>
    <w:rsid w:val="00F2495A"/>
    <w:rsid w:val="00F60963"/>
    <w:rsid w:val="00F61170"/>
    <w:rsid w:val="00F70C82"/>
    <w:rsid w:val="00FA603A"/>
    <w:rsid w:val="00FA7DEB"/>
    <w:rsid w:val="00FB6EFC"/>
    <w:rsid w:val="00FC5A46"/>
    <w:rsid w:val="26F312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rules v:ext="edit">
        <o:r id="V:Rule1" type="connector" idref="#_x0000_s2057"/>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19"/>
    <w:qFormat/>
    <w:uiPriority w:val="99"/>
    <w:pPr>
      <w:keepNext/>
      <w:keepLines/>
      <w:spacing w:line="578" w:lineRule="auto"/>
      <w:jc w:val="center"/>
      <w:outlineLvl w:val="0"/>
    </w:pPr>
    <w:rPr>
      <w:rFonts w:ascii="Times New Roman" w:hAnsi="Times New Roman" w:eastAsia="仿宋_GB2312" w:cs="Times New Roman"/>
      <w:b/>
      <w:bCs/>
      <w:kern w:val="44"/>
      <w:sz w:val="44"/>
      <w:szCs w:val="44"/>
    </w:rPr>
  </w:style>
  <w:style w:type="paragraph" w:styleId="3">
    <w:name w:val="heading 2"/>
    <w:basedOn w:val="1"/>
    <w:next w:val="1"/>
    <w:link w:val="20"/>
    <w:qFormat/>
    <w:uiPriority w:val="99"/>
    <w:pPr>
      <w:keepNext/>
      <w:keepLines/>
      <w:spacing w:line="416" w:lineRule="auto"/>
      <w:outlineLvl w:val="1"/>
    </w:pPr>
    <w:rPr>
      <w:rFonts w:ascii="Cambria" w:hAnsi="Cambria" w:eastAsia="仿宋_GB2312" w:cs="Times New Roman"/>
      <w:b/>
      <w:bCs/>
      <w:kern w:val="0"/>
      <w:sz w:val="32"/>
      <w:szCs w:val="32"/>
    </w:rPr>
  </w:style>
  <w:style w:type="paragraph" w:styleId="4">
    <w:name w:val="heading 5"/>
    <w:basedOn w:val="1"/>
    <w:next w:val="1"/>
    <w:link w:val="23"/>
    <w:unhideWhenUsed/>
    <w:qFormat/>
    <w:uiPriority w:val="9"/>
    <w:pPr>
      <w:keepNext/>
      <w:keepLines/>
      <w:spacing w:before="280" w:after="290" w:line="376" w:lineRule="auto"/>
      <w:outlineLvl w:val="4"/>
    </w:pPr>
    <w:rPr>
      <w:b/>
      <w:bCs/>
      <w:sz w:val="28"/>
      <w:szCs w:val="28"/>
    </w:rPr>
  </w:style>
  <w:style w:type="character" w:default="1" w:styleId="13">
    <w:name w:val="Default Paragraph Font"/>
    <w:unhideWhenUsed/>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5">
    <w:name w:val="Body Text"/>
    <w:basedOn w:val="1"/>
    <w:link w:val="26"/>
    <w:qFormat/>
    <w:uiPriority w:val="0"/>
    <w:pPr>
      <w:jc w:val="center"/>
    </w:pPr>
    <w:rPr>
      <w:rFonts w:ascii="Times New Roman" w:hAnsi="Times New Roman" w:cs="Times New Roman"/>
      <w:b/>
      <w:szCs w:val="20"/>
    </w:rPr>
  </w:style>
  <w:style w:type="paragraph" w:styleId="6">
    <w:name w:val="Plain Text"/>
    <w:basedOn w:val="1"/>
    <w:link w:val="21"/>
    <w:qFormat/>
    <w:uiPriority w:val="0"/>
    <w:pPr>
      <w:jc w:val="left"/>
    </w:pPr>
    <w:rPr>
      <w:rFonts w:ascii="宋体" w:hAnsi="Courier New" w:cs="Times New Roman"/>
      <w:kern w:val="0"/>
      <w:szCs w:val="20"/>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style>
  <w:style w:type="paragraph" w:styleId="10">
    <w:name w:val="toc 2"/>
    <w:basedOn w:val="1"/>
    <w:next w:val="1"/>
    <w:qFormat/>
    <w:uiPriority w:val="39"/>
    <w:pPr>
      <w:ind w:left="420" w:leftChars="200"/>
    </w:pPr>
  </w:style>
  <w:style w:type="paragraph" w:styleId="11">
    <w:name w:val="Body Text 2"/>
    <w:basedOn w:val="1"/>
    <w:link w:val="25"/>
    <w:unhideWhenUsed/>
    <w:qFormat/>
    <w:uiPriority w:val="99"/>
    <w:pPr>
      <w:spacing w:after="120" w:line="480" w:lineRule="auto"/>
    </w:pPr>
    <w:rPr>
      <w:rFonts w:ascii="Times New Roman" w:hAnsi="Times New Roman" w:cs="Times New Roman"/>
      <w:szCs w:val="24"/>
    </w:rPr>
  </w:style>
  <w:style w:type="paragraph" w:styleId="12">
    <w:name w:val="Normal (Web)"/>
    <w:basedOn w:val="1"/>
    <w:qFormat/>
    <w:uiPriority w:val="0"/>
    <w:pPr>
      <w:spacing w:beforeAutospacing="1" w:afterAutospacing="1"/>
      <w:jc w:val="left"/>
    </w:pPr>
    <w:rPr>
      <w:rFonts w:cs="Times New Roman" w:asciiTheme="minorHAnsi" w:hAnsiTheme="minorHAnsi" w:eastAsiaTheme="minorEastAsia"/>
      <w:kern w:val="0"/>
      <w:sz w:val="24"/>
      <w:szCs w:val="22"/>
    </w:rPr>
  </w:style>
  <w:style w:type="character" w:styleId="14">
    <w:name w:val="Strong"/>
    <w:qFormat/>
    <w:uiPriority w:val="0"/>
    <w:rPr>
      <w:rFonts w:ascii="Verdana" w:hAnsi="Verdana"/>
      <w:b/>
      <w:bCs/>
      <w:kern w:val="0"/>
      <w:sz w:val="20"/>
      <w:szCs w:val="20"/>
      <w:lang w:eastAsia="en-US"/>
    </w:rPr>
  </w:style>
  <w:style w:type="character" w:styleId="15">
    <w:name w:val="Hyperlink"/>
    <w:basedOn w:val="13"/>
    <w:qFormat/>
    <w:uiPriority w:val="99"/>
    <w:rPr>
      <w:rFonts w:cs="Times New Roman"/>
      <w:color w:val="0000FF"/>
      <w:u w:val="single"/>
    </w:rPr>
  </w:style>
  <w:style w:type="character" w:customStyle="1" w:styleId="17">
    <w:name w:val="页眉 Char"/>
    <w:basedOn w:val="13"/>
    <w:link w:val="8"/>
    <w:qFormat/>
    <w:uiPriority w:val="99"/>
    <w:rPr>
      <w:sz w:val="18"/>
      <w:szCs w:val="18"/>
    </w:rPr>
  </w:style>
  <w:style w:type="character" w:customStyle="1" w:styleId="18">
    <w:name w:val="页脚 Char"/>
    <w:basedOn w:val="13"/>
    <w:link w:val="7"/>
    <w:qFormat/>
    <w:uiPriority w:val="99"/>
    <w:rPr>
      <w:sz w:val="18"/>
      <w:szCs w:val="18"/>
    </w:rPr>
  </w:style>
  <w:style w:type="character" w:customStyle="1" w:styleId="19">
    <w:name w:val="标题 1 Char"/>
    <w:basedOn w:val="13"/>
    <w:link w:val="2"/>
    <w:qFormat/>
    <w:uiPriority w:val="99"/>
    <w:rPr>
      <w:rFonts w:ascii="Times New Roman" w:hAnsi="Times New Roman" w:eastAsia="仿宋_GB2312" w:cs="Times New Roman"/>
      <w:b/>
      <w:bCs/>
      <w:kern w:val="44"/>
      <w:sz w:val="44"/>
      <w:szCs w:val="44"/>
    </w:rPr>
  </w:style>
  <w:style w:type="character" w:customStyle="1" w:styleId="20">
    <w:name w:val="标题 2 Char"/>
    <w:basedOn w:val="13"/>
    <w:link w:val="3"/>
    <w:qFormat/>
    <w:uiPriority w:val="99"/>
    <w:rPr>
      <w:rFonts w:ascii="Cambria" w:hAnsi="Cambria" w:eastAsia="仿宋_GB2312" w:cs="Times New Roman"/>
      <w:b/>
      <w:bCs/>
      <w:kern w:val="0"/>
      <w:sz w:val="32"/>
      <w:szCs w:val="32"/>
    </w:rPr>
  </w:style>
  <w:style w:type="character" w:customStyle="1" w:styleId="21">
    <w:name w:val="纯文本 Char"/>
    <w:basedOn w:val="13"/>
    <w:link w:val="6"/>
    <w:qFormat/>
    <w:uiPriority w:val="0"/>
    <w:rPr>
      <w:rFonts w:ascii="宋体" w:hAnsi="Courier New" w:eastAsia="宋体" w:cs="Times New Roman"/>
      <w:kern w:val="0"/>
      <w:szCs w:val="20"/>
    </w:rPr>
  </w:style>
  <w:style w:type="paragraph" w:customStyle="1" w:styleId="22">
    <w:name w:val="List Paragraph"/>
    <w:basedOn w:val="1"/>
    <w:qFormat/>
    <w:uiPriority w:val="34"/>
    <w:pPr>
      <w:ind w:firstLine="420" w:firstLineChars="200"/>
    </w:pPr>
  </w:style>
  <w:style w:type="character" w:customStyle="1" w:styleId="23">
    <w:name w:val="标题 5 Char"/>
    <w:basedOn w:val="13"/>
    <w:link w:val="4"/>
    <w:semiHidden/>
    <w:uiPriority w:val="9"/>
    <w:rPr>
      <w:rFonts w:ascii="Calibri" w:hAnsi="Calibri" w:eastAsia="宋体" w:cs="Calibri"/>
      <w:b/>
      <w:bCs/>
      <w:sz w:val="28"/>
      <w:szCs w:val="28"/>
    </w:rPr>
  </w:style>
  <w:style w:type="paragraph" w:customStyle="1" w:styleId="24">
    <w:name w:val="列出段落1"/>
    <w:basedOn w:val="1"/>
    <w:qFormat/>
    <w:uiPriority w:val="34"/>
    <w:pPr>
      <w:ind w:firstLine="420" w:firstLineChars="200"/>
    </w:pPr>
    <w:rPr>
      <w:rFonts w:cs="Times New Roman"/>
      <w:szCs w:val="22"/>
    </w:rPr>
  </w:style>
  <w:style w:type="character" w:customStyle="1" w:styleId="25">
    <w:name w:val="正文文本 2 Char"/>
    <w:basedOn w:val="13"/>
    <w:link w:val="11"/>
    <w:semiHidden/>
    <w:uiPriority w:val="99"/>
    <w:rPr>
      <w:rFonts w:ascii="Times New Roman" w:hAnsi="Times New Roman" w:eastAsia="宋体" w:cs="Times New Roman"/>
      <w:szCs w:val="24"/>
    </w:rPr>
  </w:style>
  <w:style w:type="character" w:customStyle="1" w:styleId="26">
    <w:name w:val="正文文本 Char"/>
    <w:basedOn w:val="13"/>
    <w:link w:val="5"/>
    <w:qFormat/>
    <w:uiPriority w:val="0"/>
    <w:rPr>
      <w:rFonts w:ascii="Times New Roman" w:hAnsi="Times New Roman" w:eastAsia="宋体" w:cs="Times New Roman"/>
      <w:b/>
      <w:szCs w:val="20"/>
    </w:rPr>
  </w:style>
  <w:style w:type="paragraph" w:customStyle="1" w:styleId="27">
    <w:name w:val="No Spacing"/>
    <w:qFormat/>
    <w:uiPriority w:val="0"/>
    <w:pPr>
      <w:widowControl w:val="0"/>
      <w:jc w:val="both"/>
    </w:pPr>
    <w:rPr>
      <w:rFonts w:ascii="Calibri" w:hAnsi="Calibri" w:eastAsia="宋体" w:cs="Times New Roman"/>
      <w:kern w:val="2"/>
      <w:sz w:val="21"/>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7"/>
    <customShpInfo spid="_x0000_s2053"/>
    <customShpInfo spid="_x0000_s2052"/>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346BD2-E58F-4E36-BEDA-8AA05EC256F4}">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1271</Words>
  <Characters>7249</Characters>
  <Lines>60</Lines>
  <Paragraphs>17</Paragraphs>
  <TotalTime>0</TotalTime>
  <ScaleCrop>false</ScaleCrop>
  <LinksUpToDate>false</LinksUpToDate>
  <CharactersWithSpaces>8503</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2018-03-06T02:03:00Z</dcterms:created>
  <dc:creator>匿名用户</dc:creator>
  <cp:lastModifiedBy>匿名用户</cp:lastModifiedBy>
  <cp:lastPrinted>2018-06-06T01:02:00Z</cp:lastPrinted>
  <dcterms:modified xsi:type="dcterms:W3CDTF">2018-06-20T07:38:58Z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