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ascii="仿宋" w:hAnsi="仿宋" w:eastAsia="仿宋"/>
          <w:b/>
          <w:sz w:val="36"/>
          <w:szCs w:val="36"/>
        </w:rPr>
        <w:pict>
          <v:shape id="_x0000_i1025" o:spt="136" type="#_x0000_t136" style="height:69pt;width:487.65pt;" fillcolor="#000000" filled="t" stroked="t" coordsize="21600,21600">
            <v:path/>
            <v:fill on="t" focussize="0,0"/>
            <v:stroke/>
            <v:imagedata o:title=""/>
            <o:lock v:ext="edit" aspectratio="f"/>
            <v:textpath on="t" fitshape="t" fitpath="t" trim="t" xscale="f" string="鄂尔多斯伊金霍洛国际机场有限公司&#10;" style="font-family:宋体;font-size:36pt;v-text-align:center;"/>
            <v:shadow on="t" obscured="0"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stroked="t" coordsize="21600,21600">
            <v:path/>
            <v:fill on="t" focussize="0,0"/>
            <v:stroke/>
            <v:imagedata o:title=""/>
            <o:lock v:ext="edit" aspectratio="f"/>
            <v:textpath on="t" fitshape="t" fitpath="t" trim="t" xscale="f" string="招标文件" style="font-family:宋体;font-size:44pt;v-text-align:center;"/>
            <v:shadow on="t" obscured="0" color="#868686" offset="2pt,1pt" offset2="-2pt,-2pt"/>
            <w10:wrap type="none"/>
            <w10:anchorlock/>
          </v:shape>
        </w:pict>
      </w:r>
    </w:p>
    <w:p>
      <w:pPr>
        <w:jc w:val="center"/>
        <w:rPr>
          <w:rFonts w:ascii="仿宋" w:hAnsi="仿宋" w:eastAsia="仿宋"/>
          <w:b/>
          <w:sz w:val="52"/>
          <w:szCs w:val="52"/>
        </w:rPr>
      </w:pPr>
    </w:p>
    <w:p>
      <w:pPr>
        <w:jc w:val="center"/>
        <w:rPr>
          <w:rFonts w:hint="eastAsia" w:ascii="仿宋" w:hAnsi="仿宋" w:eastAsia="仿宋"/>
          <w:b/>
          <w:sz w:val="52"/>
          <w:szCs w:val="52"/>
        </w:rPr>
      </w:pPr>
    </w:p>
    <w:p>
      <w:pPr>
        <w:jc w:val="left"/>
        <w:rPr>
          <w:rFonts w:ascii="仿宋" w:hAnsi="仿宋" w:eastAsia="仿宋"/>
          <w:b/>
          <w:sz w:val="52"/>
          <w:szCs w:val="52"/>
        </w:rPr>
      </w:pPr>
    </w:p>
    <w:p>
      <w:pPr>
        <w:widowControl/>
        <w:spacing w:line="360" w:lineRule="auto"/>
        <w:jc w:val="center"/>
        <w:rPr>
          <w:rFonts w:hint="eastAsia" w:ascii="仿宋" w:hAnsi="仿宋" w:eastAsia="仿宋"/>
          <w:b/>
          <w:sz w:val="44"/>
          <w:szCs w:val="44"/>
        </w:rPr>
      </w:pPr>
      <w:r>
        <w:rPr>
          <w:rFonts w:hint="eastAsia" w:ascii="仿宋" w:hAnsi="仿宋" w:eastAsia="仿宋"/>
          <w:b/>
          <w:sz w:val="44"/>
          <w:szCs w:val="44"/>
        </w:rPr>
        <w:t>项目名称：机场转报机采购项目</w:t>
      </w:r>
    </w:p>
    <w:p>
      <w:pPr>
        <w:widowControl/>
        <w:spacing w:line="360" w:lineRule="auto"/>
        <w:jc w:val="center"/>
        <w:rPr>
          <w:rFonts w:hint="eastAsia" w:ascii="仿宋" w:hAnsi="仿宋" w:eastAsia="仿宋"/>
          <w:b/>
          <w:sz w:val="44"/>
          <w:szCs w:val="44"/>
        </w:rPr>
      </w:pPr>
      <w:r>
        <w:rPr>
          <w:rFonts w:hint="eastAsia" w:ascii="仿宋" w:hAnsi="仿宋" w:eastAsia="仿宋"/>
          <w:b/>
          <w:sz w:val="44"/>
          <w:szCs w:val="44"/>
        </w:rPr>
        <w:t>项目编号：CG/JCGS-18-017-N</w:t>
      </w:r>
    </w:p>
    <w:p>
      <w:pPr>
        <w:widowControl/>
        <w:jc w:val="center"/>
        <w:rPr>
          <w:rFonts w:hint="eastAsia" w:ascii="仿宋" w:hAnsi="仿宋" w:eastAsia="仿宋"/>
          <w:sz w:val="48"/>
          <w:szCs w:val="48"/>
        </w:rPr>
      </w:pPr>
    </w:p>
    <w:p>
      <w:pPr>
        <w:pStyle w:val="22"/>
        <w:tabs>
          <w:tab w:val="right" w:leader="dot" w:pos="8844"/>
        </w:tabs>
        <w:jc w:val="center"/>
        <w:rPr>
          <w:rFonts w:ascii="仿宋" w:hAnsi="仿宋" w:eastAsia="仿宋"/>
          <w:b/>
          <w:sz w:val="44"/>
          <w:szCs w:val="44"/>
        </w:rPr>
      </w:pPr>
    </w:p>
    <w:p>
      <w:pPr>
        <w:widowControl/>
        <w:spacing w:line="360" w:lineRule="auto"/>
        <w:jc w:val="center"/>
        <w:rPr>
          <w:rFonts w:ascii="仿宋" w:hAnsi="仿宋" w:eastAsia="仿宋"/>
          <w:b/>
          <w:sz w:val="44"/>
          <w:szCs w:val="44"/>
        </w:rPr>
      </w:pPr>
      <w:r>
        <w:rPr>
          <w:rFonts w:ascii="仿宋" w:hAnsi="仿宋" w:eastAsia="仿宋"/>
          <w:b/>
          <w:sz w:val="44"/>
          <w:szCs w:val="44"/>
        </w:rPr>
        <w:t>201</w:t>
      </w:r>
      <w:r>
        <w:rPr>
          <w:rFonts w:hint="eastAsia" w:ascii="仿宋" w:hAnsi="仿宋" w:eastAsia="仿宋"/>
          <w:b/>
          <w:sz w:val="44"/>
          <w:szCs w:val="44"/>
        </w:rPr>
        <w:t>8</w:t>
      </w:r>
      <w:r>
        <w:rPr>
          <w:rFonts w:ascii="仿宋" w:hAnsi="仿宋" w:eastAsia="仿宋"/>
          <w:b/>
          <w:sz w:val="44"/>
          <w:szCs w:val="44"/>
        </w:rPr>
        <w:t>年</w:t>
      </w:r>
      <w:r>
        <w:rPr>
          <w:rFonts w:hint="eastAsia" w:ascii="仿宋" w:hAnsi="仿宋" w:eastAsia="仿宋"/>
          <w:b/>
          <w:sz w:val="44"/>
          <w:szCs w:val="44"/>
        </w:rPr>
        <w:t>10</w:t>
      </w:r>
      <w:r>
        <w:rPr>
          <w:rFonts w:ascii="仿宋" w:hAnsi="仿宋" w:eastAsia="仿宋"/>
          <w:b/>
          <w:sz w:val="44"/>
          <w:szCs w:val="44"/>
        </w:rPr>
        <w:t>月</w:t>
      </w:r>
      <w:r>
        <w:rPr>
          <w:rFonts w:hint="eastAsia" w:ascii="仿宋" w:hAnsi="仿宋" w:eastAsia="仿宋"/>
          <w:b/>
          <w:sz w:val="44"/>
          <w:szCs w:val="44"/>
        </w:rPr>
        <w:t>24</w:t>
      </w:r>
      <w:r>
        <w:rPr>
          <w:rFonts w:ascii="仿宋" w:hAnsi="仿宋" w:eastAsia="仿宋"/>
          <w:b/>
          <w:sz w:val="44"/>
          <w:szCs w:val="44"/>
        </w:rPr>
        <w:t>日</w:t>
      </w:r>
      <w:bookmarkStart w:id="0" w:name="_Toc1285"/>
      <w:bookmarkStart w:id="1" w:name="_Toc20980"/>
      <w:bookmarkStart w:id="2" w:name="_Toc23772"/>
      <w:bookmarkStart w:id="3" w:name="_Toc19268"/>
      <w:bookmarkStart w:id="4" w:name="_Toc3056"/>
      <w:bookmarkStart w:id="5" w:name="_Toc26604"/>
      <w:bookmarkStart w:id="6" w:name="_Toc14171"/>
      <w:bookmarkStart w:id="7" w:name="_Toc24959"/>
    </w:p>
    <w:p>
      <w:pPr>
        <w:widowControl/>
        <w:spacing w:line="360" w:lineRule="auto"/>
        <w:jc w:val="center"/>
        <w:rPr>
          <w:rStyle w:val="28"/>
          <w:rFonts w:hint="eastAsia"/>
        </w:rPr>
      </w:pPr>
      <w:r>
        <w:rPr>
          <w:rStyle w:val="28"/>
          <w:rFonts w:hint="eastAsia"/>
        </w:rPr>
        <w:br w:type="page"/>
      </w:r>
    </w:p>
    <w:p>
      <w:pPr>
        <w:jc w:val="center"/>
        <w:rPr>
          <w:rFonts w:hint="eastAsia" w:eastAsia="方正小标宋简体"/>
          <w:b/>
          <w:bCs/>
          <w:kern w:val="0"/>
          <w:sz w:val="32"/>
          <w:szCs w:val="32"/>
        </w:rPr>
      </w:pPr>
      <w:bookmarkStart w:id="8" w:name="_Toc6880_WPSOffice_Type2"/>
      <w:r>
        <w:rPr>
          <w:rFonts w:hint="eastAsia" w:eastAsia="方正小标宋简体"/>
          <w:b/>
          <w:bCs/>
          <w:kern w:val="0"/>
          <w:sz w:val="32"/>
          <w:szCs w:val="32"/>
        </w:rPr>
        <w:t>目录</w:t>
      </w:r>
    </w:p>
    <w:p>
      <w:pPr>
        <w:pStyle w:val="22"/>
        <w:tabs>
          <w:tab w:val="right" w:leader="dot" w:pos="8844"/>
        </w:tabs>
        <w:rPr>
          <w:sz w:val="32"/>
          <w:szCs w:val="32"/>
        </w:rPr>
      </w:pPr>
      <w:r>
        <w:rPr>
          <w:b/>
          <w:bCs/>
          <w:sz w:val="32"/>
          <w:szCs w:val="32"/>
        </w:rPr>
        <w:fldChar w:fldCharType="begin"/>
      </w:r>
      <w:r>
        <w:rPr>
          <w:sz w:val="32"/>
          <w:szCs w:val="32"/>
        </w:rPr>
        <w:instrText xml:space="preserve"> HYPERLINK \l _Toc23735_WPSOffice_Level1 </w:instrText>
      </w:r>
      <w:r>
        <w:rPr>
          <w:b/>
          <w:bCs/>
          <w:sz w:val="32"/>
          <w:szCs w:val="32"/>
        </w:rPr>
        <w:fldChar w:fldCharType="separate"/>
      </w:r>
      <w:r>
        <w:rPr>
          <w:rFonts w:hint="eastAsia" w:eastAsia="方正小标宋简体" w:cs="Calibri"/>
          <w:b/>
          <w:bCs/>
          <w:sz w:val="32"/>
          <w:szCs w:val="32"/>
        </w:rPr>
        <w:t>第一章 竞争性磋商公告</w:t>
      </w:r>
      <w:r>
        <w:rPr>
          <w:b/>
          <w:bCs/>
          <w:sz w:val="32"/>
          <w:szCs w:val="32"/>
        </w:rPr>
        <w:tab/>
      </w:r>
      <w:bookmarkStart w:id="9" w:name="_Toc23735_WPSOffice_Level1Page"/>
      <w:r>
        <w:rPr>
          <w:b/>
          <w:bCs/>
          <w:sz w:val="32"/>
          <w:szCs w:val="32"/>
        </w:rPr>
        <w:t>3</w:t>
      </w:r>
      <w:bookmarkEnd w:id="9"/>
      <w:r>
        <w:rPr>
          <w:b/>
          <w:bCs/>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_Toc5084_WPSOffice_Level2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一、项目概况</w:t>
      </w:r>
      <w:r>
        <w:rPr>
          <w:rFonts w:hint="eastAsia" w:ascii="黑体" w:hAnsi="黑体" w:eastAsia="黑体" w:cs="黑体"/>
          <w:sz w:val="32"/>
          <w:szCs w:val="32"/>
        </w:rPr>
        <w:tab/>
      </w:r>
      <w:bookmarkStart w:id="10" w:name="_Toc5084_WPSOffice_Level2Page"/>
      <w:r>
        <w:rPr>
          <w:rFonts w:hint="eastAsia" w:ascii="黑体" w:hAnsi="黑体" w:eastAsia="黑体" w:cs="黑体"/>
          <w:sz w:val="32"/>
          <w:szCs w:val="32"/>
        </w:rPr>
        <w:t>3</w:t>
      </w:r>
      <w:bookmarkEnd w:id="10"/>
      <w:r>
        <w:rPr>
          <w:rFonts w:hint="eastAsia" w:ascii="黑体" w:hAnsi="黑体" w:eastAsia="黑体" w:cs="黑体"/>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_Toc19871_WPSOffice_Level2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二、供应商的资格要求</w:t>
      </w:r>
      <w:r>
        <w:rPr>
          <w:rFonts w:hint="eastAsia" w:ascii="黑体" w:hAnsi="黑体" w:eastAsia="黑体" w:cs="黑体"/>
          <w:sz w:val="32"/>
          <w:szCs w:val="32"/>
        </w:rPr>
        <w:tab/>
      </w:r>
      <w:r>
        <w:rPr>
          <w:rFonts w:ascii="黑体" w:hAnsi="黑体" w:eastAsia="黑体" w:cs="黑体"/>
          <w:sz w:val="32"/>
          <w:szCs w:val="32"/>
        </w:rPr>
        <w:t>4</w:t>
      </w:r>
      <w:r>
        <w:rPr>
          <w:rFonts w:hint="eastAsia" w:ascii="黑体" w:hAnsi="黑体" w:eastAsia="黑体" w:cs="黑体"/>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_Toc3116_WPSOffice_Level2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三、踏勘现场</w:t>
      </w:r>
      <w:r>
        <w:rPr>
          <w:rFonts w:hint="eastAsia" w:ascii="黑体" w:hAnsi="黑体" w:eastAsia="黑体" w:cs="黑体"/>
          <w:sz w:val="32"/>
          <w:szCs w:val="32"/>
        </w:rPr>
        <w:tab/>
      </w:r>
      <w:r>
        <w:rPr>
          <w:rFonts w:ascii="黑体" w:hAnsi="黑体" w:eastAsia="黑体" w:cs="黑体"/>
          <w:sz w:val="32"/>
          <w:szCs w:val="32"/>
        </w:rPr>
        <w:t>5</w:t>
      </w:r>
      <w:r>
        <w:rPr>
          <w:rFonts w:hint="eastAsia" w:ascii="黑体" w:hAnsi="黑体" w:eastAsia="黑体" w:cs="黑体"/>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_Toc12470_WPSOffice_Level2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四、获取采购文件的时间、地点、方式</w:t>
      </w:r>
      <w:r>
        <w:rPr>
          <w:rFonts w:hint="eastAsia" w:ascii="黑体" w:hAnsi="黑体" w:eastAsia="黑体" w:cs="黑体"/>
          <w:sz w:val="32"/>
          <w:szCs w:val="32"/>
        </w:rPr>
        <w:tab/>
      </w:r>
      <w:r>
        <w:rPr>
          <w:rFonts w:ascii="黑体" w:hAnsi="黑体" w:eastAsia="黑体" w:cs="黑体"/>
          <w:sz w:val="32"/>
          <w:szCs w:val="32"/>
        </w:rPr>
        <w:t>5</w:t>
      </w:r>
      <w:r>
        <w:rPr>
          <w:rFonts w:hint="eastAsia" w:ascii="黑体" w:hAnsi="黑体" w:eastAsia="黑体" w:cs="黑体"/>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_Toc30584_WPSOffice_Level2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五、递交响应文件截止（评标）时间、地点</w:t>
      </w:r>
      <w:r>
        <w:rPr>
          <w:rFonts w:hint="eastAsia" w:ascii="黑体" w:hAnsi="黑体" w:eastAsia="黑体" w:cs="黑体"/>
          <w:sz w:val="32"/>
          <w:szCs w:val="32"/>
        </w:rPr>
        <w:tab/>
      </w:r>
      <w:r>
        <w:rPr>
          <w:rFonts w:ascii="黑体" w:hAnsi="黑体" w:eastAsia="黑体" w:cs="黑体"/>
          <w:sz w:val="32"/>
          <w:szCs w:val="32"/>
        </w:rPr>
        <w:t>6</w:t>
      </w:r>
      <w:r>
        <w:rPr>
          <w:rFonts w:hint="eastAsia" w:ascii="黑体" w:hAnsi="黑体" w:eastAsia="黑体" w:cs="黑体"/>
          <w:sz w:val="32"/>
          <w:szCs w:val="32"/>
        </w:rPr>
        <w:fldChar w:fldCharType="end"/>
      </w:r>
    </w:p>
    <w:p>
      <w:pPr>
        <w:pStyle w:val="20"/>
        <w:tabs>
          <w:tab w:val="right" w:leader="dot" w:pos="8844"/>
        </w:tabs>
        <w:ind w:left="420"/>
        <w:rPr>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_Toc18246_WPSOffice_Level2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六、联系方式</w:t>
      </w:r>
      <w:r>
        <w:rPr>
          <w:rFonts w:hint="eastAsia" w:ascii="黑体" w:hAnsi="黑体" w:eastAsia="黑体" w:cs="黑体"/>
          <w:sz w:val="32"/>
          <w:szCs w:val="32"/>
        </w:rPr>
        <w:tab/>
      </w:r>
      <w:r>
        <w:rPr>
          <w:rFonts w:ascii="黑体" w:hAnsi="黑体" w:eastAsia="黑体" w:cs="黑体"/>
          <w:sz w:val="32"/>
          <w:szCs w:val="32"/>
        </w:rPr>
        <w:t>6</w:t>
      </w:r>
      <w:r>
        <w:rPr>
          <w:rFonts w:hint="eastAsia" w:ascii="黑体" w:hAnsi="黑体" w:eastAsia="黑体" w:cs="黑体"/>
          <w:sz w:val="32"/>
          <w:szCs w:val="32"/>
        </w:rPr>
        <w:fldChar w:fldCharType="end"/>
      </w:r>
    </w:p>
    <w:p>
      <w:pPr>
        <w:pStyle w:val="22"/>
        <w:tabs>
          <w:tab w:val="right" w:leader="dot" w:pos="8844"/>
        </w:tabs>
        <w:rPr>
          <w:sz w:val="32"/>
          <w:szCs w:val="32"/>
        </w:rPr>
      </w:pPr>
      <w:r>
        <w:rPr>
          <w:b/>
          <w:bCs/>
          <w:sz w:val="32"/>
          <w:szCs w:val="32"/>
        </w:rPr>
        <w:fldChar w:fldCharType="begin"/>
      </w:r>
      <w:r>
        <w:rPr>
          <w:sz w:val="32"/>
          <w:szCs w:val="32"/>
        </w:rPr>
        <w:instrText xml:space="preserve"> HYPERLINK \l _Toc26637_WPSOffice_Level1 </w:instrText>
      </w:r>
      <w:r>
        <w:rPr>
          <w:b/>
          <w:bCs/>
          <w:sz w:val="32"/>
          <w:szCs w:val="32"/>
        </w:rPr>
        <w:fldChar w:fldCharType="separate"/>
      </w:r>
      <w:r>
        <w:rPr>
          <w:rFonts w:hint="eastAsia" w:eastAsia="方正小标宋简体"/>
          <w:b/>
          <w:bCs/>
          <w:sz w:val="32"/>
          <w:szCs w:val="32"/>
        </w:rPr>
        <w:t>第二章 采购内容与技术要求</w:t>
      </w:r>
      <w:r>
        <w:rPr>
          <w:b/>
          <w:bCs/>
          <w:sz w:val="32"/>
          <w:szCs w:val="32"/>
        </w:rPr>
        <w:tab/>
      </w:r>
      <w:r>
        <w:rPr>
          <w:b/>
          <w:bCs/>
          <w:sz w:val="32"/>
          <w:szCs w:val="32"/>
        </w:rPr>
        <w:t>7</w:t>
      </w:r>
      <w:r>
        <w:rPr>
          <w:b/>
          <w:bCs/>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_Toc8144_WPSOffice_Level2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一、项目说明</w:t>
      </w:r>
      <w:r>
        <w:rPr>
          <w:rFonts w:hint="eastAsia" w:ascii="黑体" w:hAnsi="黑体" w:eastAsia="黑体" w:cs="黑体"/>
          <w:sz w:val="32"/>
          <w:szCs w:val="32"/>
        </w:rPr>
        <w:tab/>
      </w:r>
      <w:r>
        <w:rPr>
          <w:rFonts w:ascii="黑体" w:hAnsi="黑体" w:eastAsia="黑体" w:cs="黑体"/>
          <w:sz w:val="32"/>
          <w:szCs w:val="32"/>
        </w:rPr>
        <w:t>7</w:t>
      </w:r>
      <w:r>
        <w:rPr>
          <w:rFonts w:hint="eastAsia" w:ascii="黑体" w:hAnsi="黑体" w:eastAsia="黑体" w:cs="黑体"/>
          <w:sz w:val="32"/>
          <w:szCs w:val="32"/>
        </w:rPr>
        <w:fldChar w:fldCharType="end"/>
      </w:r>
    </w:p>
    <w:p>
      <w:pPr>
        <w:pStyle w:val="20"/>
        <w:tabs>
          <w:tab w:val="right" w:leader="dot" w:pos="8844"/>
        </w:tabs>
        <w:ind w:left="420"/>
        <w:rPr>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_Toc2610_WPSOffice_Level2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二、施工内容及要求</w:t>
      </w:r>
      <w:r>
        <w:rPr>
          <w:rFonts w:hint="eastAsia" w:ascii="黑体" w:hAnsi="黑体" w:eastAsia="黑体" w:cs="黑体"/>
          <w:sz w:val="32"/>
          <w:szCs w:val="32"/>
        </w:rPr>
        <w:tab/>
      </w:r>
      <w:r>
        <w:rPr>
          <w:rFonts w:ascii="黑体" w:hAnsi="黑体" w:eastAsia="黑体" w:cs="黑体"/>
          <w:sz w:val="32"/>
          <w:szCs w:val="32"/>
        </w:rPr>
        <w:t>7</w:t>
      </w:r>
      <w:r>
        <w:rPr>
          <w:rFonts w:hint="eastAsia" w:ascii="黑体" w:hAnsi="黑体" w:eastAsia="黑体" w:cs="黑体"/>
          <w:sz w:val="32"/>
          <w:szCs w:val="32"/>
        </w:rPr>
        <w:fldChar w:fldCharType="end"/>
      </w:r>
    </w:p>
    <w:p>
      <w:pPr>
        <w:pStyle w:val="22"/>
        <w:tabs>
          <w:tab w:val="right" w:leader="dot" w:pos="8844"/>
        </w:tabs>
        <w:rPr>
          <w:sz w:val="32"/>
          <w:szCs w:val="32"/>
        </w:rPr>
      </w:pPr>
      <w:r>
        <w:rPr>
          <w:b/>
          <w:bCs/>
          <w:sz w:val="32"/>
          <w:szCs w:val="32"/>
        </w:rPr>
        <w:fldChar w:fldCharType="begin"/>
      </w:r>
      <w:r>
        <w:rPr>
          <w:sz w:val="32"/>
          <w:szCs w:val="32"/>
        </w:rPr>
        <w:instrText xml:space="preserve"> HYPERLINK \l _Toc13886_WPSOffice_Level1 </w:instrText>
      </w:r>
      <w:r>
        <w:rPr>
          <w:b/>
          <w:bCs/>
          <w:sz w:val="32"/>
          <w:szCs w:val="32"/>
        </w:rPr>
        <w:fldChar w:fldCharType="separate"/>
      </w:r>
      <w:r>
        <w:rPr>
          <w:rFonts w:hint="eastAsia" w:eastAsia="方正小标宋简体" w:cs="Calibri"/>
          <w:b/>
          <w:bCs/>
          <w:sz w:val="32"/>
          <w:szCs w:val="32"/>
        </w:rPr>
        <w:t>第三章 供应商须知</w:t>
      </w:r>
      <w:r>
        <w:rPr>
          <w:b/>
          <w:bCs/>
          <w:sz w:val="32"/>
          <w:szCs w:val="32"/>
        </w:rPr>
        <w:tab/>
      </w:r>
      <w:bookmarkStart w:id="11" w:name="_Toc13886_WPSOffice_Level1Page"/>
      <w:r>
        <w:rPr>
          <w:b/>
          <w:bCs/>
          <w:sz w:val="32"/>
          <w:szCs w:val="32"/>
        </w:rPr>
        <w:t>12</w:t>
      </w:r>
      <w:bookmarkEnd w:id="11"/>
      <w:r>
        <w:rPr>
          <w:b/>
          <w:bCs/>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_Toc20469_WPSOffice_Level2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一、供应商资格要求</w:t>
      </w:r>
      <w:r>
        <w:rPr>
          <w:rFonts w:hint="eastAsia" w:ascii="黑体" w:hAnsi="黑体" w:eastAsia="黑体" w:cs="黑体"/>
          <w:sz w:val="32"/>
          <w:szCs w:val="32"/>
        </w:rPr>
        <w:tab/>
      </w:r>
      <w:bookmarkStart w:id="12" w:name="_Toc20469_WPSOffice_Level2Page"/>
      <w:r>
        <w:rPr>
          <w:rFonts w:hint="eastAsia" w:ascii="黑体" w:hAnsi="黑体" w:eastAsia="黑体" w:cs="黑体"/>
          <w:sz w:val="32"/>
          <w:szCs w:val="32"/>
        </w:rPr>
        <w:t>12</w:t>
      </w:r>
      <w:bookmarkEnd w:id="12"/>
      <w:r>
        <w:rPr>
          <w:rFonts w:hint="eastAsia" w:ascii="黑体" w:hAnsi="黑体" w:eastAsia="黑体" w:cs="黑体"/>
          <w:sz w:val="32"/>
          <w:szCs w:val="32"/>
        </w:rPr>
        <w:fldChar w:fldCharType="end"/>
      </w:r>
    </w:p>
    <w:p>
      <w:pPr>
        <w:pStyle w:val="20"/>
        <w:tabs>
          <w:tab w:val="right" w:leader="dot" w:pos="8844"/>
        </w:tabs>
        <w:ind w:left="42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_Toc19178_WPSOffice_Level2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二、文件应包括</w:t>
      </w:r>
      <w:r>
        <w:rPr>
          <w:rFonts w:hint="eastAsia" w:ascii="黑体" w:hAnsi="黑体" w:eastAsia="黑体" w:cs="黑体"/>
          <w:sz w:val="32"/>
          <w:szCs w:val="32"/>
        </w:rPr>
        <w:tab/>
      </w:r>
      <w:bookmarkStart w:id="13" w:name="_Toc19178_WPSOffice_Level2Page"/>
      <w:r>
        <w:rPr>
          <w:rFonts w:hint="eastAsia" w:ascii="黑体" w:hAnsi="黑体" w:eastAsia="黑体" w:cs="黑体"/>
          <w:sz w:val="32"/>
          <w:szCs w:val="32"/>
        </w:rPr>
        <w:t>12</w:t>
      </w:r>
      <w:bookmarkEnd w:id="13"/>
      <w:r>
        <w:rPr>
          <w:rFonts w:hint="eastAsia" w:ascii="黑体" w:hAnsi="黑体" w:eastAsia="黑体" w:cs="黑体"/>
          <w:sz w:val="32"/>
          <w:szCs w:val="32"/>
        </w:rPr>
        <w:fldChar w:fldCharType="end"/>
      </w:r>
    </w:p>
    <w:p>
      <w:pPr>
        <w:pStyle w:val="20"/>
        <w:tabs>
          <w:tab w:val="right" w:leader="dot" w:pos="8844"/>
        </w:tabs>
        <w:ind w:left="420"/>
        <w:rPr>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_Toc23724_WPSOffice_Level2 </w:instrText>
      </w:r>
      <w:r>
        <w:rPr>
          <w:rFonts w:hint="eastAsia" w:ascii="黑体" w:hAnsi="黑体" w:eastAsia="黑体" w:cs="黑体"/>
          <w:sz w:val="32"/>
          <w:szCs w:val="32"/>
        </w:rPr>
        <w:fldChar w:fldCharType="separate"/>
      </w:r>
      <w:r>
        <w:rPr>
          <w:rFonts w:hint="eastAsia" w:ascii="黑体" w:hAnsi="黑体" w:eastAsia="黑体" w:cs="黑体"/>
          <w:sz w:val="32"/>
          <w:szCs w:val="32"/>
        </w:rPr>
        <w:t>三、评标与中标</w:t>
      </w:r>
      <w:r>
        <w:rPr>
          <w:rFonts w:hint="eastAsia" w:ascii="黑体" w:hAnsi="黑体" w:eastAsia="黑体" w:cs="黑体"/>
          <w:sz w:val="32"/>
          <w:szCs w:val="32"/>
        </w:rPr>
        <w:tab/>
      </w:r>
      <w:bookmarkStart w:id="14" w:name="_Toc23724_WPSOffice_Level2Page"/>
      <w:r>
        <w:rPr>
          <w:rFonts w:hint="eastAsia" w:ascii="黑体" w:hAnsi="黑体" w:eastAsia="黑体" w:cs="黑体"/>
          <w:sz w:val="32"/>
          <w:szCs w:val="32"/>
        </w:rPr>
        <w:t>13</w:t>
      </w:r>
      <w:bookmarkEnd w:id="14"/>
      <w:r>
        <w:rPr>
          <w:rFonts w:hint="eastAsia" w:ascii="黑体" w:hAnsi="黑体" w:eastAsia="黑体" w:cs="黑体"/>
          <w:sz w:val="32"/>
          <w:szCs w:val="32"/>
        </w:rPr>
        <w:fldChar w:fldCharType="end"/>
      </w:r>
    </w:p>
    <w:p>
      <w:pPr>
        <w:pStyle w:val="22"/>
        <w:tabs>
          <w:tab w:val="right" w:leader="dot" w:pos="8844"/>
        </w:tabs>
        <w:rPr>
          <w:sz w:val="32"/>
          <w:szCs w:val="32"/>
        </w:rPr>
      </w:pPr>
      <w:r>
        <w:rPr>
          <w:b/>
          <w:bCs/>
          <w:sz w:val="32"/>
          <w:szCs w:val="32"/>
        </w:rPr>
        <w:fldChar w:fldCharType="begin"/>
      </w:r>
      <w:r>
        <w:rPr>
          <w:sz w:val="32"/>
          <w:szCs w:val="32"/>
        </w:rPr>
        <w:instrText xml:space="preserve"> HYPERLINK \l _Toc20144_WPSOffice_Level1 </w:instrText>
      </w:r>
      <w:r>
        <w:rPr>
          <w:b/>
          <w:bCs/>
          <w:sz w:val="32"/>
          <w:szCs w:val="32"/>
        </w:rPr>
        <w:fldChar w:fldCharType="separate"/>
      </w:r>
      <w:r>
        <w:rPr>
          <w:rFonts w:hint="eastAsia" w:eastAsia="方正小标宋简体" w:cs="Calibri"/>
          <w:b/>
          <w:bCs/>
          <w:sz w:val="32"/>
          <w:szCs w:val="32"/>
        </w:rPr>
        <w:t>第四章 响应文件格式与要求</w:t>
      </w:r>
      <w:r>
        <w:rPr>
          <w:b/>
          <w:bCs/>
          <w:sz w:val="32"/>
          <w:szCs w:val="32"/>
        </w:rPr>
        <w:tab/>
      </w:r>
      <w:bookmarkStart w:id="15" w:name="_Toc20144_WPSOffice_Level1Page"/>
      <w:r>
        <w:rPr>
          <w:b/>
          <w:bCs/>
          <w:sz w:val="32"/>
          <w:szCs w:val="32"/>
        </w:rPr>
        <w:t>1</w:t>
      </w:r>
      <w:bookmarkEnd w:id="15"/>
      <w:r>
        <w:rPr>
          <w:b/>
          <w:bCs/>
          <w:sz w:val="32"/>
          <w:szCs w:val="32"/>
        </w:rPr>
        <w:t>6</w:t>
      </w:r>
      <w:r>
        <w:rPr>
          <w:b/>
          <w:bCs/>
          <w:sz w:val="32"/>
          <w:szCs w:val="32"/>
        </w:rPr>
        <w:fldChar w:fldCharType="end"/>
      </w:r>
    </w:p>
    <w:p>
      <w:pPr>
        <w:pStyle w:val="22"/>
        <w:tabs>
          <w:tab w:val="right" w:leader="dot" w:pos="8844"/>
        </w:tabs>
        <w:jc w:val="center"/>
        <w:rPr>
          <w:rStyle w:val="28"/>
          <w:rFonts w:hint="eastAsia"/>
        </w:rPr>
      </w:pPr>
      <w:r>
        <w:rPr>
          <w:rFonts w:hint="eastAsia"/>
          <w:b/>
          <w:bCs/>
          <w:sz w:val="32"/>
          <w:szCs w:val="32"/>
        </w:rPr>
        <w:t xml:space="preserve">  </w:t>
      </w:r>
      <w:bookmarkEnd w:id="8"/>
      <w:r>
        <w:rPr>
          <w:rFonts w:hint="eastAsia" w:ascii="Cambria" w:hAnsi="Cambria" w:eastAsia="黑体"/>
          <w:sz w:val="32"/>
          <w:szCs w:val="32"/>
        </w:rPr>
        <w:br w:type="page"/>
      </w:r>
      <w:bookmarkStart w:id="16" w:name="_Toc23735_WPSOffice_Level1"/>
      <w:bookmarkStart w:id="17" w:name="_Toc19948"/>
      <w:bookmarkStart w:id="18" w:name="_Toc22356"/>
      <w:r>
        <w:rPr>
          <w:rStyle w:val="28"/>
          <w:rFonts w:hint="eastAsia"/>
        </w:rPr>
        <w:t>第一章 竞争性磋商公告</w:t>
      </w:r>
      <w:bookmarkEnd w:id="0"/>
      <w:bookmarkEnd w:id="1"/>
      <w:bookmarkEnd w:id="2"/>
      <w:bookmarkEnd w:id="3"/>
      <w:bookmarkEnd w:id="4"/>
      <w:bookmarkEnd w:id="5"/>
      <w:bookmarkEnd w:id="6"/>
      <w:bookmarkEnd w:id="16"/>
      <w:bookmarkEnd w:id="17"/>
      <w:bookmarkEnd w:id="18"/>
    </w:p>
    <w:bookmarkEnd w:id="7"/>
    <w:p>
      <w:pPr>
        <w:pStyle w:val="7"/>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鄂尔多斯伊金霍洛国际机场</w:t>
      </w:r>
      <w:r>
        <w:rPr>
          <w:rFonts w:hint="eastAsia" w:ascii="仿宋_GB2312" w:eastAsia="仿宋_GB2312"/>
          <w:sz w:val="32"/>
          <w:szCs w:val="32"/>
          <w:lang w:eastAsia="zh-CN"/>
        </w:rPr>
        <w:t>有</w:t>
      </w:r>
      <w:r>
        <w:rPr>
          <w:rFonts w:hint="eastAsia" w:ascii="仿宋_GB2312" w:eastAsia="仿宋_GB2312"/>
          <w:sz w:val="32"/>
          <w:szCs w:val="32"/>
        </w:rPr>
        <w:t>限公司拟采用竞争性磋商的方式进行</w:t>
      </w:r>
      <w:r>
        <w:rPr>
          <w:rFonts w:hint="eastAsia" w:ascii="仿宋_GB2312" w:eastAsia="仿宋_GB2312"/>
          <w:sz w:val="32"/>
          <w:szCs w:val="32"/>
          <w:lang w:val="en-US" w:eastAsia="zh-CN"/>
        </w:rPr>
        <w:t>机场转报机采购项目</w:t>
      </w:r>
      <w:r>
        <w:rPr>
          <w:rFonts w:hint="eastAsia" w:ascii="仿宋_GB2312" w:eastAsia="仿宋_GB2312"/>
          <w:sz w:val="32"/>
          <w:szCs w:val="32"/>
        </w:rPr>
        <w:t>，现邀请</w:t>
      </w:r>
      <w:r>
        <w:rPr>
          <w:rFonts w:hint="eastAsia" w:ascii="仿宋_GB2312" w:eastAsia="仿宋_GB2312"/>
          <w:sz w:val="32"/>
          <w:szCs w:val="32"/>
          <w:lang w:eastAsia="zh-CN"/>
        </w:rPr>
        <w:t>符合</w:t>
      </w:r>
      <w:r>
        <w:rPr>
          <w:rFonts w:hint="eastAsia" w:ascii="仿宋_GB2312" w:eastAsia="仿宋_GB2312"/>
          <w:sz w:val="32"/>
          <w:szCs w:val="32"/>
        </w:rPr>
        <w:t>资质的供应商前来参与此次竞争性磋商。</w:t>
      </w:r>
    </w:p>
    <w:p>
      <w:pPr>
        <w:pStyle w:val="3"/>
      </w:pPr>
      <w:bookmarkStart w:id="19" w:name="_Toc16436"/>
      <w:bookmarkStart w:id="20" w:name="_Toc12213"/>
      <w:bookmarkStart w:id="21" w:name="_Toc30569"/>
      <w:bookmarkStart w:id="22" w:name="_Toc2"/>
      <w:bookmarkStart w:id="23" w:name="_Toc20948"/>
      <w:bookmarkStart w:id="24" w:name="_Toc32698"/>
      <w:bookmarkStart w:id="25" w:name="_Toc22257"/>
      <w:bookmarkStart w:id="26" w:name="_Toc9572"/>
      <w:bookmarkStart w:id="27" w:name="_Toc5084_WPSOffice_Level2"/>
      <w:r>
        <w:rPr>
          <w:rFonts w:hint="eastAsia"/>
        </w:rPr>
        <w:t>一、项目概况</w:t>
      </w:r>
      <w:bookmarkEnd w:id="19"/>
      <w:bookmarkEnd w:id="20"/>
      <w:bookmarkEnd w:id="21"/>
      <w:bookmarkEnd w:id="22"/>
      <w:bookmarkEnd w:id="23"/>
      <w:bookmarkEnd w:id="24"/>
      <w:bookmarkEnd w:id="25"/>
      <w:bookmarkEnd w:id="26"/>
      <w:bookmarkEnd w:id="27"/>
    </w:p>
    <w:p>
      <w:pPr>
        <w:pStyle w:val="7"/>
        <w:spacing w:line="360" w:lineRule="auto"/>
        <w:rPr>
          <w:rFonts w:hint="eastAsia" w:ascii="仿宋_GB2312" w:eastAsia="仿宋_GB2312"/>
          <w:sz w:val="32"/>
          <w:szCs w:val="32"/>
          <w:lang w:val="en-US" w:eastAsia="zh-CN"/>
        </w:rPr>
      </w:pPr>
      <w:bookmarkStart w:id="28" w:name="_Toc21321"/>
      <w:r>
        <w:rPr>
          <w:rStyle w:val="32"/>
          <w:rFonts w:hint="eastAsia" w:ascii="楷体" w:hAnsi="楷体" w:eastAsia="楷体" w:cs="楷体"/>
        </w:rPr>
        <w:t>（一）项目名称</w:t>
      </w:r>
      <w:bookmarkEnd w:id="28"/>
      <w:r>
        <w:rPr>
          <w:rFonts w:hint="eastAsia" w:ascii="仿宋_GB2312" w:eastAsia="仿宋_GB2312"/>
          <w:sz w:val="32"/>
          <w:szCs w:val="32"/>
          <w:lang w:val="en-US" w:eastAsia="zh-CN"/>
        </w:rPr>
        <w:t>：机场转报机采购项目</w:t>
      </w:r>
    </w:p>
    <w:p>
      <w:pPr>
        <w:pStyle w:val="7"/>
        <w:spacing w:line="360" w:lineRule="auto"/>
        <w:rPr>
          <w:rFonts w:hint="eastAsia" w:ascii="仿宋_GB2312" w:eastAsia="仿宋_GB2312"/>
          <w:sz w:val="32"/>
          <w:szCs w:val="32"/>
          <w:lang w:val="en-US" w:eastAsia="zh-CN"/>
        </w:rPr>
      </w:pPr>
      <w:bookmarkStart w:id="29" w:name="_Toc10971"/>
      <w:r>
        <w:rPr>
          <w:rStyle w:val="32"/>
          <w:rFonts w:hint="eastAsia" w:ascii="楷体" w:hAnsi="楷体" w:eastAsia="楷体" w:cs="楷体"/>
        </w:rPr>
        <w:t>（二）项目编号：</w:t>
      </w:r>
      <w:bookmarkEnd w:id="29"/>
      <w:r>
        <w:rPr>
          <w:rFonts w:hint="eastAsia" w:ascii="仿宋_GB2312" w:eastAsia="仿宋_GB2312"/>
          <w:sz w:val="32"/>
          <w:szCs w:val="32"/>
          <w:lang w:val="en-US" w:eastAsia="zh-CN"/>
        </w:rPr>
        <w:t>CG/JCGS-18-017-N</w:t>
      </w:r>
    </w:p>
    <w:p>
      <w:pPr>
        <w:pStyle w:val="7"/>
        <w:spacing w:line="360" w:lineRule="auto"/>
        <w:rPr>
          <w:rFonts w:hint="eastAsia" w:ascii="仿宋_GB2312" w:eastAsia="仿宋_GB2312"/>
          <w:sz w:val="32"/>
          <w:szCs w:val="32"/>
          <w:lang w:eastAsia="zh-CN"/>
        </w:rPr>
      </w:pPr>
      <w:bookmarkStart w:id="30" w:name="_Toc22114"/>
      <w:r>
        <w:rPr>
          <w:rStyle w:val="32"/>
          <w:rFonts w:hint="eastAsia" w:ascii="楷体" w:hAnsi="楷体" w:eastAsia="楷体" w:cs="楷体"/>
        </w:rPr>
        <w:t>（三）采购人：</w:t>
      </w:r>
      <w:bookmarkEnd w:id="30"/>
      <w:r>
        <w:rPr>
          <w:rFonts w:hint="eastAsia" w:ascii="仿宋_GB2312" w:eastAsia="仿宋_GB2312"/>
          <w:sz w:val="32"/>
          <w:szCs w:val="32"/>
          <w:lang w:eastAsia="zh-CN"/>
        </w:rPr>
        <w:t>鄂尔多斯伊金霍洛国际机场有限公司</w:t>
      </w:r>
    </w:p>
    <w:p>
      <w:pPr>
        <w:pStyle w:val="7"/>
        <w:spacing w:line="360" w:lineRule="auto"/>
        <w:rPr>
          <w:rFonts w:hint="eastAsia" w:ascii="仿宋_GB2312" w:eastAsia="仿宋_GB2312"/>
          <w:sz w:val="32"/>
          <w:szCs w:val="32"/>
          <w:lang w:eastAsia="zh-CN"/>
        </w:rPr>
      </w:pPr>
      <w:bookmarkStart w:id="31" w:name="_Toc20233"/>
      <w:r>
        <w:rPr>
          <w:rStyle w:val="32"/>
          <w:rFonts w:hint="eastAsia" w:ascii="楷体" w:hAnsi="楷体" w:eastAsia="楷体" w:cs="楷体"/>
        </w:rPr>
        <w:t>（四）资金来源：</w:t>
      </w:r>
      <w:bookmarkEnd w:id="31"/>
      <w:r>
        <w:rPr>
          <w:rFonts w:hint="eastAsia" w:ascii="仿宋_GB2312" w:eastAsia="仿宋_GB2312"/>
          <w:sz w:val="32"/>
          <w:szCs w:val="32"/>
          <w:lang w:eastAsia="zh-CN"/>
        </w:rPr>
        <w:t>企业自筹</w:t>
      </w:r>
      <w:bookmarkStart w:id="32" w:name="_Toc32141"/>
    </w:p>
    <w:p>
      <w:pPr>
        <w:pStyle w:val="21"/>
        <w:numPr>
          <w:ilvl w:val="0"/>
          <w:numId w:val="0"/>
        </w:numPr>
        <w:spacing w:line="360" w:lineRule="auto"/>
        <w:ind w:left="358" w:hanging="358" w:hangingChars="112"/>
        <w:rPr>
          <w:rFonts w:hint="eastAsia" w:ascii="仿宋_GB2312" w:hAnsi="Courier New" w:eastAsia="仿宋_GB2312" w:cs="Times New Roman"/>
          <w:kern w:val="0"/>
          <w:sz w:val="32"/>
          <w:szCs w:val="32"/>
          <w:lang w:val="en-US" w:eastAsia="zh-CN" w:bidi="ar-SA"/>
        </w:rPr>
      </w:pPr>
      <w:r>
        <w:rPr>
          <w:rStyle w:val="32"/>
          <w:rFonts w:hint="eastAsia" w:ascii="楷体" w:hAnsi="楷体" w:eastAsia="楷体" w:cs="楷体"/>
          <w:highlight w:val="none"/>
        </w:rPr>
        <w:t>（五）采购内容：</w:t>
      </w:r>
      <w:bookmarkEnd w:id="32"/>
      <w:r>
        <w:rPr>
          <w:rFonts w:hint="eastAsia" w:ascii="仿宋_GB2312" w:hAnsi="Courier New" w:eastAsia="仿宋_GB2312" w:cs="Times New Roman"/>
          <w:kern w:val="0"/>
          <w:sz w:val="32"/>
          <w:szCs w:val="32"/>
          <w:lang w:val="en-US" w:eastAsia="zh-CN" w:bidi="ar-SA"/>
        </w:rPr>
        <w:t>32路双机转报系统.含5路终端。</w:t>
      </w:r>
    </w:p>
    <w:p>
      <w:pPr>
        <w:pStyle w:val="3"/>
        <w:rPr>
          <w:rFonts w:hint="eastAsia"/>
        </w:rPr>
      </w:pPr>
      <w:bookmarkStart w:id="33" w:name="_Toc18949"/>
      <w:bookmarkStart w:id="34" w:name="_Toc20842"/>
      <w:bookmarkStart w:id="35" w:name="_Toc32025"/>
      <w:bookmarkStart w:id="36" w:name="_Toc11256"/>
      <w:bookmarkStart w:id="37" w:name="_Toc26879"/>
      <w:bookmarkStart w:id="38" w:name="_Toc17539"/>
      <w:bookmarkStart w:id="39" w:name="_Toc15528"/>
      <w:bookmarkStart w:id="40" w:name="_Toc4681"/>
      <w:bookmarkStart w:id="41" w:name="_Toc19871_WPSOffice_Level2"/>
      <w:r>
        <w:rPr>
          <w:rFonts w:hint="eastAsia"/>
        </w:rPr>
        <w:t>二、供应商的资格要求</w:t>
      </w:r>
      <w:bookmarkEnd w:id="33"/>
      <w:bookmarkEnd w:id="34"/>
      <w:bookmarkEnd w:id="35"/>
      <w:bookmarkEnd w:id="36"/>
      <w:bookmarkEnd w:id="37"/>
      <w:bookmarkEnd w:id="38"/>
      <w:bookmarkEnd w:id="39"/>
      <w:bookmarkEnd w:id="40"/>
      <w:bookmarkEnd w:id="41"/>
    </w:p>
    <w:p>
      <w:pPr>
        <w:ind w:firstLine="640" w:firstLineChars="200"/>
        <w:rPr>
          <w:rFonts w:ascii="仿宋_GB2312" w:hAnsi="Courier New" w:eastAsia="仿宋_GB2312" w:cs="Times New Roman"/>
          <w:kern w:val="0"/>
          <w:sz w:val="32"/>
          <w:szCs w:val="32"/>
        </w:rPr>
      </w:pPr>
      <w:bookmarkStart w:id="42" w:name="_Toc23118"/>
      <w:bookmarkStart w:id="43" w:name="_Toc3116_WPSOffice_Level2"/>
      <w:bookmarkStart w:id="44" w:name="_Toc14405"/>
      <w:bookmarkStart w:id="45" w:name="_Toc32555"/>
      <w:bookmarkStart w:id="46" w:name="_Toc8420"/>
      <w:bookmarkStart w:id="47" w:name="_Toc27188"/>
      <w:bookmarkStart w:id="48" w:name="_Toc15719"/>
      <w:bookmarkStart w:id="49" w:name="_Toc3901"/>
      <w:bookmarkStart w:id="50" w:name="_Toc8482"/>
      <w:r>
        <w:rPr>
          <w:rFonts w:hint="eastAsia" w:ascii="仿宋_GB2312" w:hAnsi="Courier New" w:eastAsia="仿宋_GB2312" w:cs="Times New Roman"/>
          <w:kern w:val="0"/>
          <w:sz w:val="32"/>
          <w:szCs w:val="32"/>
        </w:rPr>
        <w:t>供应商应符合《中华人民共和国政府采购法》第二十二条规定的条件：</w:t>
      </w:r>
    </w:p>
    <w:p>
      <w:pPr>
        <w:ind w:firstLine="640" w:firstLineChars="200"/>
        <w:rPr>
          <w:rFonts w:hint="eastAsia" w:ascii="仿宋_GB2312" w:hAnsi="Courier New" w:eastAsia="仿宋_GB2312" w:cs="Times New Roman"/>
          <w:kern w:val="0"/>
          <w:sz w:val="32"/>
          <w:szCs w:val="32"/>
        </w:rPr>
      </w:pPr>
      <w:r>
        <w:rPr>
          <w:rFonts w:ascii="仿宋_GB2312" w:hAnsi="Courier New" w:eastAsia="仿宋_GB2312" w:cs="Times New Roman"/>
          <w:kern w:val="0"/>
          <w:sz w:val="32"/>
          <w:szCs w:val="32"/>
        </w:rPr>
        <w:t>1</w:t>
      </w:r>
      <w:r>
        <w:rPr>
          <w:rFonts w:hint="eastAsia" w:ascii="仿宋_GB2312" w:hAnsi="Courier New" w:eastAsia="仿宋_GB2312" w:cs="Times New Roman"/>
          <w:kern w:val="0"/>
          <w:sz w:val="32"/>
          <w:szCs w:val="32"/>
        </w:rPr>
        <w:t xml:space="preserve">、具有从事相关工作经验，具有独立承担民事责任的能力;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2</w:t>
      </w:r>
      <w:r>
        <w:rPr>
          <w:rFonts w:hint="eastAsia" w:ascii="仿宋_GB2312" w:hAnsi="Courier New" w:eastAsia="仿宋_GB2312" w:cs="Times New Roman"/>
          <w:kern w:val="0"/>
          <w:sz w:val="32"/>
          <w:szCs w:val="32"/>
        </w:rPr>
        <w:t>、具有良好的商业信誉和健全的财务会计制度</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3</w:t>
      </w:r>
      <w:r>
        <w:rPr>
          <w:rFonts w:hint="eastAsia" w:ascii="仿宋_GB2312" w:hAnsi="Courier New" w:eastAsia="仿宋_GB2312" w:cs="Times New Roman"/>
          <w:kern w:val="0"/>
          <w:sz w:val="32"/>
          <w:szCs w:val="32"/>
        </w:rPr>
        <w:t>、具有销售此产品的资质、营业执照等相关证件</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4</w:t>
      </w:r>
      <w:r>
        <w:rPr>
          <w:rFonts w:hint="eastAsia" w:ascii="仿宋_GB2312" w:hAnsi="Courier New" w:eastAsia="仿宋_GB2312" w:cs="Times New Roman"/>
          <w:kern w:val="0"/>
          <w:sz w:val="32"/>
          <w:szCs w:val="32"/>
        </w:rPr>
        <w:t>、有依法缴纳税收和社会保障资金的良好记录</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5</w:t>
      </w:r>
      <w:r>
        <w:rPr>
          <w:rFonts w:hint="eastAsia" w:ascii="仿宋_GB2312" w:hAnsi="Courier New" w:eastAsia="仿宋_GB2312" w:cs="Times New Roman"/>
          <w:kern w:val="0"/>
          <w:sz w:val="32"/>
          <w:szCs w:val="32"/>
        </w:rPr>
        <w:t>、参加本次采购活动前，在经营活动中没有重大违法记录</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6</w:t>
      </w:r>
      <w:r>
        <w:rPr>
          <w:rFonts w:hint="eastAsia" w:ascii="仿宋_GB2312" w:hAnsi="Courier New" w:eastAsia="仿宋_GB2312" w:cs="Times New Roman"/>
          <w:kern w:val="0"/>
          <w:sz w:val="32"/>
          <w:szCs w:val="32"/>
        </w:rPr>
        <w:t>、法律、行政法规规定的其他条件。</w:t>
      </w:r>
      <w:r>
        <w:rPr>
          <w:rFonts w:ascii="仿宋_GB2312" w:hAnsi="Courier New" w:eastAsia="仿宋_GB2312" w:cs="Times New Roman"/>
          <w:kern w:val="0"/>
          <w:sz w:val="32"/>
          <w:szCs w:val="32"/>
        </w:rPr>
        <w:t xml:space="preserve"> </w:t>
      </w:r>
    </w:p>
    <w:p>
      <w:pPr>
        <w:pStyle w:val="3"/>
        <w:rPr>
          <w:rFonts w:hint="eastAsia"/>
        </w:rPr>
      </w:pPr>
      <w:r>
        <w:rPr>
          <w:rFonts w:hint="eastAsia"/>
        </w:rPr>
        <w:t>三、</w:t>
      </w:r>
      <w:bookmarkEnd w:id="42"/>
      <w:bookmarkEnd w:id="43"/>
      <w:bookmarkStart w:id="51" w:name="_Toc23124"/>
      <w:bookmarkStart w:id="52" w:name="_Toc12470_WPSOffice_Level2"/>
      <w:r>
        <w:rPr>
          <w:rFonts w:hint="eastAsia"/>
        </w:rPr>
        <w:t>获取采购文件的时间、地点、方式</w:t>
      </w:r>
      <w:bookmarkEnd w:id="44"/>
      <w:bookmarkEnd w:id="45"/>
      <w:bookmarkEnd w:id="46"/>
      <w:bookmarkEnd w:id="47"/>
      <w:bookmarkEnd w:id="48"/>
      <w:bookmarkEnd w:id="49"/>
      <w:bookmarkEnd w:id="50"/>
      <w:bookmarkEnd w:id="51"/>
      <w:bookmarkEnd w:id="52"/>
    </w:p>
    <w:p>
      <w:pPr>
        <w:pStyle w:val="7"/>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符合上述条件的供应商可于2018年11月8日起登录鄂尔多斯机场管理集团有限公司网站页面（网址：http://ordosairport.com/），点击“公告”栏中的“招标信息”栏，查询采购信息，点击信息公告页面左下角“附件”即可浏览、下载采购文件。</w:t>
      </w:r>
    </w:p>
    <w:p>
      <w:pPr>
        <w:pStyle w:val="3"/>
        <w:rPr>
          <w:rFonts w:hint="eastAsia"/>
          <w:lang w:eastAsia="zh-CN"/>
        </w:rPr>
      </w:pPr>
      <w:bookmarkStart w:id="53" w:name="_Toc8064"/>
      <w:bookmarkStart w:id="54" w:name="_Toc20348"/>
      <w:bookmarkStart w:id="55" w:name="_Toc29856"/>
      <w:bookmarkStart w:id="56" w:name="_Toc18195"/>
      <w:bookmarkStart w:id="57" w:name="_Toc18789"/>
      <w:bookmarkStart w:id="58" w:name="_Toc27327"/>
      <w:bookmarkStart w:id="59" w:name="_Toc11011"/>
      <w:bookmarkStart w:id="60" w:name="_Toc1392"/>
      <w:bookmarkStart w:id="61" w:name="_Toc30584_WPSOffice_Level2"/>
      <w:r>
        <w:rPr>
          <w:rFonts w:hint="eastAsia"/>
          <w:lang w:eastAsia="zh-CN"/>
        </w:rPr>
        <w:t>四、递交响应文件截止（评标）时间、地点</w:t>
      </w:r>
      <w:bookmarkEnd w:id="53"/>
      <w:bookmarkEnd w:id="54"/>
      <w:bookmarkEnd w:id="55"/>
      <w:bookmarkEnd w:id="56"/>
      <w:bookmarkEnd w:id="57"/>
      <w:bookmarkEnd w:id="58"/>
      <w:bookmarkEnd w:id="59"/>
      <w:bookmarkEnd w:id="60"/>
      <w:bookmarkEnd w:id="61"/>
    </w:p>
    <w:p>
      <w:pPr>
        <w:pStyle w:val="7"/>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递交响应文件截止（评标）时间：2018年11月15日上午9:30</w:t>
      </w:r>
    </w:p>
    <w:p>
      <w:pPr>
        <w:pStyle w:val="7"/>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响应文件接收及评标地点：鄂尔多斯飞机场综合办公楼二楼208招标室</w:t>
      </w:r>
      <w:bookmarkStart w:id="368" w:name="_GoBack"/>
      <w:bookmarkEnd w:id="368"/>
    </w:p>
    <w:p>
      <w:pPr>
        <w:pStyle w:val="3"/>
        <w:rPr>
          <w:rFonts w:hint="eastAsia"/>
          <w:lang w:eastAsia="zh-CN"/>
        </w:rPr>
      </w:pPr>
      <w:bookmarkStart w:id="62" w:name="_Toc3336"/>
      <w:bookmarkStart w:id="63" w:name="_Toc23357"/>
      <w:bookmarkStart w:id="64" w:name="_Toc25348"/>
      <w:bookmarkStart w:id="65" w:name="_Toc4076"/>
      <w:bookmarkStart w:id="66" w:name="_Toc17661"/>
      <w:bookmarkStart w:id="67" w:name="_Toc20565"/>
      <w:bookmarkStart w:id="68" w:name="_Toc16098"/>
      <w:bookmarkStart w:id="69" w:name="_Toc10306"/>
      <w:bookmarkStart w:id="70" w:name="_Toc18246_WPSOffice_Level2"/>
      <w:r>
        <w:rPr>
          <w:rFonts w:hint="eastAsia"/>
          <w:lang w:eastAsia="zh-CN"/>
        </w:rPr>
        <w:t>五、联系方式</w:t>
      </w:r>
      <w:bookmarkEnd w:id="62"/>
      <w:bookmarkEnd w:id="63"/>
      <w:bookmarkEnd w:id="64"/>
      <w:bookmarkEnd w:id="65"/>
      <w:bookmarkEnd w:id="66"/>
      <w:bookmarkEnd w:id="67"/>
      <w:bookmarkEnd w:id="68"/>
      <w:bookmarkEnd w:id="69"/>
      <w:bookmarkEnd w:id="70"/>
    </w:p>
    <w:p>
      <w:pPr>
        <w:pStyle w:val="7"/>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联 系 人：霍建稳       </w:t>
      </w:r>
    </w:p>
    <w:p>
      <w:pPr>
        <w:pStyle w:val="7"/>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联系电话：0477-3855901   </w:t>
      </w:r>
    </w:p>
    <w:p>
      <w:pPr>
        <w:pStyle w:val="7"/>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邮    箱：597809252</w:t>
      </w:r>
      <w:r>
        <w:rPr>
          <w:rFonts w:hint="eastAsia" w:ascii="仿宋_GB2312" w:eastAsia="仿宋_GB2312"/>
          <w:sz w:val="32"/>
          <w:szCs w:val="32"/>
          <w:lang w:val="en-US" w:eastAsia="zh-CN"/>
        </w:rPr>
        <w:fldChar w:fldCharType="begin"/>
      </w:r>
      <w:r>
        <w:rPr>
          <w:rFonts w:hint="eastAsia" w:ascii="仿宋_GB2312" w:eastAsia="仿宋_GB2312"/>
          <w:sz w:val="32"/>
          <w:szCs w:val="32"/>
          <w:lang w:val="en-US" w:eastAsia="zh-CN"/>
        </w:rPr>
        <w:instrText xml:space="preserve"> HYPERLINK "mailto:284250746@qq.com" </w:instrText>
      </w:r>
      <w:r>
        <w:rPr>
          <w:rFonts w:hint="eastAsia" w:ascii="仿宋_GB2312" w:eastAsia="仿宋_GB2312"/>
          <w:sz w:val="32"/>
          <w:szCs w:val="32"/>
          <w:lang w:val="en-US" w:eastAsia="zh-CN"/>
        </w:rPr>
        <w:fldChar w:fldCharType="separate"/>
      </w:r>
      <w:r>
        <w:rPr>
          <w:rFonts w:hint="eastAsia" w:ascii="仿宋_GB2312" w:eastAsia="仿宋_GB2312"/>
          <w:sz w:val="32"/>
          <w:szCs w:val="32"/>
          <w:lang w:val="en-US" w:eastAsia="zh-CN"/>
        </w:rPr>
        <w:t>@qq.com</w:t>
      </w:r>
      <w:r>
        <w:rPr>
          <w:rFonts w:hint="eastAsia" w:ascii="仿宋_GB2312" w:eastAsia="仿宋_GB2312"/>
          <w:sz w:val="32"/>
          <w:szCs w:val="32"/>
          <w:lang w:val="en-US" w:eastAsia="zh-CN"/>
        </w:rPr>
        <w:fldChar w:fldCharType="end"/>
      </w:r>
      <w:r>
        <w:rPr>
          <w:rFonts w:hint="eastAsia" w:ascii="仿宋_GB2312" w:eastAsia="仿宋_GB2312"/>
          <w:sz w:val="32"/>
          <w:szCs w:val="32"/>
          <w:lang w:val="en-US" w:eastAsia="zh-CN"/>
        </w:rPr>
        <w:t xml:space="preserve">  </w:t>
      </w:r>
    </w:p>
    <w:p>
      <w:pPr>
        <w:pStyle w:val="2"/>
        <w:jc w:val="center"/>
        <w:rPr>
          <w:rStyle w:val="28"/>
          <w:rFonts w:hint="eastAsia"/>
          <w:bCs/>
          <w:lang w:val="en-US" w:eastAsia="zh-CN"/>
        </w:rPr>
      </w:pPr>
      <w:r>
        <w:rPr>
          <w:rFonts w:hint="eastAsia"/>
        </w:rPr>
        <w:br w:type="page"/>
      </w:r>
      <w:bookmarkStart w:id="71" w:name="_Toc28465"/>
      <w:bookmarkStart w:id="72" w:name="_Toc21035"/>
      <w:bookmarkStart w:id="73" w:name="_Toc25995"/>
      <w:bookmarkStart w:id="74" w:name="_Toc26853"/>
      <w:bookmarkStart w:id="75" w:name="_Toc9791"/>
      <w:bookmarkStart w:id="76" w:name="_Toc25717"/>
      <w:bookmarkStart w:id="77" w:name="_Toc498"/>
      <w:bookmarkStart w:id="78" w:name="_Toc30125"/>
      <w:bookmarkStart w:id="79" w:name="_Toc10350"/>
      <w:bookmarkStart w:id="80" w:name="_Toc8777"/>
      <w:bookmarkStart w:id="81" w:name="_Toc26637_WPSOffice_Level1"/>
      <w:r>
        <w:rPr>
          <w:rStyle w:val="28"/>
          <w:rFonts w:hint="eastAsia"/>
          <w:bCs/>
          <w:lang w:val="en-US" w:eastAsia="zh-CN"/>
        </w:rPr>
        <w:t>第二章 采购内容与技术要求</w:t>
      </w:r>
      <w:bookmarkEnd w:id="71"/>
      <w:bookmarkEnd w:id="72"/>
      <w:bookmarkEnd w:id="73"/>
      <w:bookmarkEnd w:id="74"/>
      <w:bookmarkEnd w:id="75"/>
      <w:bookmarkEnd w:id="76"/>
      <w:bookmarkEnd w:id="77"/>
      <w:bookmarkEnd w:id="78"/>
      <w:bookmarkEnd w:id="79"/>
      <w:bookmarkEnd w:id="80"/>
      <w:bookmarkEnd w:id="81"/>
    </w:p>
    <w:p>
      <w:pPr>
        <w:pStyle w:val="3"/>
        <w:rPr>
          <w:rFonts w:hint="eastAsia"/>
        </w:rPr>
      </w:pPr>
      <w:bookmarkStart w:id="82" w:name="_Toc406421928"/>
      <w:bookmarkStart w:id="83" w:name="_Toc19236"/>
      <w:bookmarkStart w:id="84" w:name="_Toc4832"/>
      <w:bookmarkStart w:id="85" w:name="_Toc4047"/>
      <w:bookmarkStart w:id="86" w:name="_Toc12627"/>
      <w:bookmarkStart w:id="87" w:name="_Toc20618"/>
      <w:bookmarkStart w:id="88" w:name="_Toc2058"/>
      <w:bookmarkStart w:id="89" w:name="_Toc3907"/>
      <w:bookmarkStart w:id="90" w:name="_Toc24563"/>
      <w:bookmarkStart w:id="91" w:name="_Toc8144_WPSOffice_Level2"/>
      <w:r>
        <w:rPr>
          <w:rFonts w:hint="eastAsia"/>
        </w:rPr>
        <w:t>一、项目说明</w:t>
      </w:r>
      <w:bookmarkEnd w:id="82"/>
      <w:bookmarkEnd w:id="83"/>
      <w:bookmarkEnd w:id="84"/>
      <w:bookmarkEnd w:id="85"/>
      <w:bookmarkEnd w:id="86"/>
      <w:bookmarkEnd w:id="87"/>
      <w:bookmarkEnd w:id="88"/>
      <w:bookmarkEnd w:id="89"/>
      <w:bookmarkEnd w:id="90"/>
      <w:bookmarkEnd w:id="91"/>
    </w:p>
    <w:p>
      <w:pPr>
        <w:pStyle w:val="7"/>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（一）项目基本情况：供应商根据实际情况参与报价，不可转包、分包。</w:t>
      </w:r>
    </w:p>
    <w:p>
      <w:pPr>
        <w:pStyle w:val="7"/>
        <w:spacing w:line="360" w:lineRule="auto"/>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lang w:eastAsia="zh-CN"/>
        </w:rPr>
        <w:t>（二）</w:t>
      </w:r>
      <w:r>
        <w:rPr>
          <w:rFonts w:hint="eastAsia" w:ascii="仿宋_GB2312" w:eastAsia="仿宋_GB2312"/>
          <w:sz w:val="32"/>
          <w:szCs w:val="32"/>
          <w:highlight w:val="none"/>
          <w:lang w:eastAsia="zh-CN"/>
        </w:rPr>
        <w:t>工期要求</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设备运输到达后1个月内完成设备安装调试及培训</w:t>
      </w:r>
      <w:r>
        <w:rPr>
          <w:rFonts w:hint="eastAsia" w:ascii="仿宋_GB2312" w:eastAsia="仿宋_GB2312"/>
          <w:sz w:val="32"/>
          <w:szCs w:val="32"/>
          <w:highlight w:val="none"/>
          <w:lang w:eastAsia="zh-CN"/>
        </w:rPr>
        <w:t>。</w:t>
      </w:r>
    </w:p>
    <w:p>
      <w:pPr>
        <w:pStyle w:val="7"/>
        <w:spacing w:line="360" w:lineRule="auto"/>
        <w:ind w:firstLine="640" w:firstLineChars="200"/>
        <w:rPr>
          <w:rFonts w:hint="eastAsia" w:ascii="仿宋_GB2312" w:eastAsia="仿宋_GB2312"/>
          <w:color w:val="000000" w:themeColor="text1"/>
          <w:sz w:val="32"/>
          <w:szCs w:val="32"/>
          <w:highlight w:val="none"/>
          <w:shd w:val="clear" w:color="auto" w:fill="auto"/>
          <w:lang w:val="en-US" w:eastAsia="zh-CN"/>
          <w14:textFill>
            <w14:solidFill>
              <w14:schemeClr w14:val="tx1"/>
            </w14:solidFill>
          </w14:textFill>
        </w:rPr>
      </w:pPr>
      <w:r>
        <w:rPr>
          <w:rFonts w:hint="eastAsia" w:ascii="仿宋_GB2312" w:eastAsia="仿宋_GB2312"/>
          <w:color w:val="000000" w:themeColor="text1"/>
          <w:sz w:val="32"/>
          <w:szCs w:val="32"/>
          <w:highlight w:val="none"/>
          <w:shd w:val="clear" w:color="auto" w:fill="auto"/>
          <w:lang w:val="en-US" w:eastAsia="zh-CN"/>
          <w14:textFill>
            <w14:solidFill>
              <w14:schemeClr w14:val="tx1"/>
            </w14:solidFill>
          </w14:textFill>
        </w:rPr>
        <w:t>（三）质保期：</w:t>
      </w:r>
      <w:r>
        <w:rPr>
          <w:rFonts w:hint="eastAsia" w:ascii="仿宋_GB2312" w:eastAsia="仿宋_GB2312"/>
          <w:color w:val="000000" w:themeColor="text1"/>
          <w:sz w:val="32"/>
          <w:szCs w:val="32"/>
          <w:highlight w:val="none"/>
          <w:shd w:val="clear" w:color="auto" w:fill="auto"/>
          <w14:textFill>
            <w14:solidFill>
              <w14:schemeClr w14:val="tx1"/>
            </w14:solidFill>
          </w14:textFill>
        </w:rPr>
        <w:t>质保期</w:t>
      </w:r>
      <w:r>
        <w:rPr>
          <w:rFonts w:hint="eastAsia" w:ascii="仿宋_GB2312" w:eastAsia="仿宋_GB2312"/>
          <w:color w:val="000000" w:themeColor="text1"/>
          <w:sz w:val="32"/>
          <w:szCs w:val="32"/>
          <w:highlight w:val="none"/>
          <w:shd w:val="clear" w:color="auto" w:fill="auto"/>
          <w:lang w:val="en-US" w:eastAsia="zh-CN"/>
          <w14:textFill>
            <w14:solidFill>
              <w14:schemeClr w14:val="tx1"/>
            </w14:solidFill>
          </w14:textFill>
        </w:rPr>
        <w:t>1</w:t>
      </w:r>
      <w:r>
        <w:rPr>
          <w:rFonts w:hint="eastAsia" w:ascii="仿宋_GB2312" w:eastAsia="仿宋_GB2312"/>
          <w:color w:val="000000" w:themeColor="text1"/>
          <w:sz w:val="32"/>
          <w:szCs w:val="32"/>
          <w:highlight w:val="none"/>
          <w:shd w:val="clear" w:color="auto" w:fill="auto"/>
          <w14:textFill>
            <w14:solidFill>
              <w14:schemeClr w14:val="tx1"/>
            </w14:solidFill>
          </w14:textFill>
        </w:rPr>
        <w:t>年</w:t>
      </w:r>
    </w:p>
    <w:p>
      <w:pPr>
        <w:pStyle w:val="7"/>
        <w:spacing w:line="360" w:lineRule="auto"/>
        <w:ind w:firstLine="640" w:firstLineChars="200"/>
        <w:rPr>
          <w:rFonts w:hint="eastAsia" w:ascii="仿宋_GB2312" w:eastAsia="仿宋_GB2312"/>
          <w:color w:val="000000"/>
          <w:sz w:val="32"/>
          <w:szCs w:val="32"/>
          <w:lang w:eastAsia="zh-CN"/>
        </w:rPr>
      </w:pPr>
      <w:r>
        <w:rPr>
          <w:rFonts w:hint="eastAsia" w:ascii="仿宋_GB2312" w:eastAsia="仿宋_GB2312"/>
          <w:sz w:val="32"/>
          <w:szCs w:val="32"/>
          <w:lang w:eastAsia="zh-CN"/>
        </w:rPr>
        <w:t>（四）项目预算：</w:t>
      </w:r>
      <w:r>
        <w:rPr>
          <w:rFonts w:hint="eastAsia" w:ascii="仿宋_GB2312" w:eastAsia="仿宋_GB2312"/>
          <w:color w:val="000000"/>
          <w:sz w:val="32"/>
          <w:szCs w:val="32"/>
          <w:lang w:val="en-US" w:eastAsia="zh-CN"/>
        </w:rPr>
        <w:t>60万</w:t>
      </w:r>
      <w:r>
        <w:rPr>
          <w:rFonts w:hint="eastAsia" w:ascii="仿宋_GB2312" w:eastAsia="仿宋_GB2312"/>
          <w:color w:val="000000"/>
          <w:sz w:val="32"/>
          <w:szCs w:val="32"/>
          <w:lang w:eastAsia="zh-CN"/>
        </w:rPr>
        <w:t>元整。</w:t>
      </w:r>
    </w:p>
    <w:p>
      <w:pPr>
        <w:pStyle w:val="7"/>
        <w:spacing w:line="360" w:lineRule="auto"/>
        <w:ind w:firstLine="640" w:firstLineChars="200"/>
        <w:rPr>
          <w:rFonts w:ascii="仿宋_GB2312" w:eastAsia="仿宋_GB2312"/>
          <w:color w:val="0000FF"/>
          <w:sz w:val="28"/>
          <w:szCs w:val="28"/>
        </w:rPr>
      </w:pPr>
      <w:r>
        <w:rPr>
          <w:rFonts w:hint="eastAsia" w:ascii="仿宋_GB2312" w:eastAsia="仿宋_GB2312"/>
          <w:sz w:val="32"/>
          <w:szCs w:val="32"/>
          <w:lang w:eastAsia="zh-CN"/>
        </w:rPr>
        <w:t>（五）</w:t>
      </w:r>
      <w:r>
        <w:rPr>
          <w:rFonts w:hint="eastAsia" w:ascii="仿宋_GB2312" w:eastAsia="仿宋_GB2312"/>
          <w:sz w:val="32"/>
          <w:szCs w:val="32"/>
          <w:lang w:val="en-US" w:eastAsia="zh-CN"/>
        </w:rPr>
        <w:t>付款方式</w:t>
      </w:r>
      <w:r>
        <w:rPr>
          <w:rFonts w:hint="eastAsia" w:ascii="仿宋_GB2312" w:eastAsia="仿宋_GB2312"/>
          <w:color w:val="000000" w:themeColor="text1"/>
          <w:sz w:val="32"/>
          <w:szCs w:val="32"/>
          <w:lang w:val="en-US" w:eastAsia="zh-CN"/>
          <w14:textFill>
            <w14:solidFill>
              <w14:schemeClr w14:val="tx1"/>
            </w14:solidFill>
          </w14:textFill>
        </w:rPr>
        <w:t>：此服务无预付款，验收合格后支付审定结算价的95%，剩余5%作为</w:t>
      </w:r>
      <w:r>
        <w:rPr>
          <w:rFonts w:hint="eastAsia" w:ascii="仿宋_GB2312" w:eastAsia="仿宋_GB2312"/>
          <w:sz w:val="32"/>
          <w:szCs w:val="32"/>
          <w:lang w:val="en-US" w:eastAsia="zh-CN"/>
        </w:rPr>
        <w:t>质保金在质保期满后支付，中标供应商须提供相应金额的增值税专用发票进行款项支付。</w:t>
      </w:r>
    </w:p>
    <w:p>
      <w:pPr>
        <w:pStyle w:val="3"/>
        <w:rPr>
          <w:rFonts w:hint="eastAsia"/>
          <w:lang w:eastAsia="zh-CN"/>
        </w:rPr>
      </w:pPr>
      <w:bookmarkStart w:id="92" w:name="_Toc27175"/>
      <w:bookmarkStart w:id="93" w:name="_Toc2610_WPSOffice_Level2"/>
      <w:bookmarkStart w:id="94" w:name="_Toc406421929"/>
      <w:bookmarkStart w:id="95" w:name="_Toc26612"/>
      <w:bookmarkStart w:id="96" w:name="_Toc26454"/>
      <w:bookmarkStart w:id="97" w:name="_Toc9275"/>
      <w:bookmarkStart w:id="98" w:name="_Toc24075"/>
      <w:bookmarkStart w:id="99" w:name="_Toc22090"/>
      <w:bookmarkStart w:id="100" w:name="_Toc30603"/>
      <w:bookmarkStart w:id="101" w:name="_Toc31671"/>
      <w:r>
        <w:rPr>
          <w:rFonts w:hint="eastAsia"/>
        </w:rPr>
        <w:t>二、</w:t>
      </w:r>
      <w:bookmarkEnd w:id="92"/>
      <w:bookmarkEnd w:id="93"/>
      <w:bookmarkEnd w:id="94"/>
      <w:bookmarkEnd w:id="95"/>
      <w:bookmarkEnd w:id="96"/>
      <w:bookmarkEnd w:id="97"/>
      <w:bookmarkEnd w:id="98"/>
      <w:bookmarkEnd w:id="99"/>
      <w:bookmarkEnd w:id="100"/>
      <w:bookmarkEnd w:id="101"/>
      <w:r>
        <w:rPr>
          <w:rFonts w:hint="eastAsia"/>
          <w:lang w:eastAsia="zh-CN"/>
        </w:rPr>
        <w:t>技术</w:t>
      </w:r>
      <w:r>
        <w:rPr>
          <w:rFonts w:hint="eastAsia"/>
        </w:rPr>
        <w:t>要求</w:t>
      </w:r>
    </w:p>
    <w:p>
      <w:pPr>
        <w:pStyle w:val="2"/>
        <w:numPr>
          <w:ilvl w:val="0"/>
          <w:numId w:val="3"/>
        </w:numPr>
        <w:adjustRightInd w:val="0"/>
        <w:spacing w:line="578" w:lineRule="atLeast"/>
        <w:jc w:val="left"/>
        <w:textAlignment w:val="baseline"/>
        <w:rPr>
          <w:rFonts w:hint="eastAsia" w:ascii="仿宋_GB2312" w:hAnsi="Courier New" w:eastAsia="仿宋_GB2312"/>
          <w:bCs w:val="0"/>
          <w:kern w:val="0"/>
          <w:sz w:val="32"/>
          <w:szCs w:val="32"/>
          <w:lang w:val="en-US" w:eastAsia="zh-CN"/>
        </w:rPr>
      </w:pPr>
      <w:bookmarkStart w:id="102" w:name="_Toc277923155"/>
      <w:bookmarkStart w:id="103" w:name="_Toc8649"/>
      <w:bookmarkStart w:id="104" w:name="_Toc16309"/>
      <w:bookmarkStart w:id="105" w:name="_Toc13135"/>
      <w:bookmarkStart w:id="106" w:name="_Toc13886_WPSOffice_Level1"/>
      <w:bookmarkStart w:id="107" w:name="_Toc12781"/>
      <w:bookmarkStart w:id="108" w:name="_Toc19689"/>
      <w:bookmarkStart w:id="109" w:name="_Toc7924"/>
      <w:bookmarkStart w:id="110" w:name="_Toc1389"/>
      <w:bookmarkStart w:id="111" w:name="_Toc29154"/>
      <w:bookmarkStart w:id="112" w:name="_Toc7034"/>
      <w:bookmarkStart w:id="113" w:name="_Toc13767"/>
      <w:r>
        <w:rPr>
          <w:rFonts w:hint="eastAsia" w:ascii="仿宋_GB2312" w:hAnsi="Courier New" w:eastAsia="仿宋_GB2312"/>
          <w:bCs w:val="0"/>
          <w:kern w:val="0"/>
          <w:sz w:val="32"/>
          <w:szCs w:val="32"/>
          <w:lang w:val="en-US" w:eastAsia="zh-CN"/>
        </w:rPr>
        <w:t>总则</w:t>
      </w:r>
      <w:bookmarkEnd w:id="102"/>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内容包括机场所需民航自动转报、备份系统及辅助设备的基本规格、技术条款、资料及有关文件。投标方必须对其中的全部设备进行投标。</w:t>
      </w:r>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本技术规格书仅指出民航自动转报系统的基本技术和功能要求，未提及的细节或者规定没有明确的条款，应认为是采用业主可以接受的中国或按照国际习惯的满意做法。</w:t>
      </w:r>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业主不接受为此次投标单独设计、配置的设备。投标方应根据民航自动转报系统的技术发展状况，采用优良的制造工艺和生产标准，完成投标民航自动转报系统的设计和制造，向业主提供成熟而先进的、符合本规格书要求的全新民航自动转报系统。</w:t>
      </w:r>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投标方必须按照对本规格书中各章节条款的顺序和内容逐项作出具体的实质性应答，偏离要求的内容应加以说明，以便招标方评估，否则将承担被废标的风险。</w:t>
      </w:r>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投标方必须提供所投标设备的全套技术说明书、产品样本，如应答内容与投标设备的样本有矛盾，以后者为准。</w:t>
      </w:r>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投标方必须在投标文件中提供本技术规格书所要求提供的具体而有效的证明文件。业主在招标时有权对有关证明文件进行考证。</w:t>
      </w:r>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所投标设备的性能指标如偏离本技术规格书的要求，必须以数值或文字的方式逐项如实填写正负偏差的内容，必要时在“备注”栏说明原因。中标后卖方在合同谈判中的任何负偏差不得超越此偏差表中巳被业主确认的条款。</w:t>
      </w:r>
    </w:p>
    <w:p>
      <w:pPr>
        <w:numPr>
          <w:ilvl w:val="1"/>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必须对投标内容和提供的产品所涉及的有关机械、电气、仪表、工艺等方面的一切专利承担责任，并负责保护业主的利益不受任何损害。一切由于文字、商标、软件、技术专利和执照等方面的侵权而引起的法律裁决、诉讼和费用均与业主无关。</w:t>
      </w:r>
    </w:p>
    <w:p>
      <w:pPr>
        <w:spacing w:line="300" w:lineRule="auto"/>
        <w:ind w:left="640" w:hanging="640" w:hangingChars="20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lang w:val="en-US" w:eastAsia="zh-CN"/>
        </w:rPr>
        <w:t>1</w:t>
      </w:r>
      <w:r>
        <w:rPr>
          <w:rFonts w:hint="eastAsia" w:ascii="仿宋_GB2312" w:hAnsi="Courier New" w:eastAsia="仿宋_GB2312" w:cs="Times New Roman"/>
          <w:kern w:val="0"/>
          <w:sz w:val="32"/>
          <w:szCs w:val="32"/>
        </w:rPr>
        <w:t>.9本技术规格书中，在条款前面打上“*”为重要指标，带“★”为次重要指标，如有一项重要指标不满足要求，将被废标。</w:t>
      </w:r>
    </w:p>
    <w:p>
      <w:pPr>
        <w:pStyle w:val="2"/>
        <w:numPr>
          <w:ilvl w:val="0"/>
          <w:numId w:val="3"/>
        </w:numPr>
        <w:adjustRightInd w:val="0"/>
        <w:spacing w:line="578" w:lineRule="atLeast"/>
        <w:jc w:val="left"/>
        <w:textAlignment w:val="baseline"/>
        <w:rPr>
          <w:rFonts w:hint="eastAsia" w:ascii="仿宋_GB2312" w:hAnsi="Courier New" w:eastAsia="仿宋_GB2312"/>
          <w:bCs w:val="0"/>
          <w:kern w:val="0"/>
          <w:sz w:val="32"/>
          <w:szCs w:val="32"/>
          <w:lang w:val="en-US" w:eastAsia="zh-CN"/>
        </w:rPr>
      </w:pPr>
      <w:bookmarkStart w:id="114" w:name="_Toc517579973"/>
      <w:r>
        <w:rPr>
          <w:rFonts w:hint="eastAsia" w:ascii="仿宋_GB2312" w:hAnsi="Courier New" w:eastAsia="仿宋_GB2312"/>
          <w:bCs w:val="0"/>
          <w:kern w:val="0"/>
          <w:sz w:val="32"/>
          <w:szCs w:val="32"/>
          <w:lang w:val="en-US" w:eastAsia="zh-CN"/>
        </w:rPr>
        <w:br w:type="page"/>
      </w:r>
      <w:bookmarkStart w:id="115" w:name="_Toc277923156"/>
      <w:r>
        <w:rPr>
          <w:rFonts w:hint="eastAsia" w:ascii="仿宋_GB2312" w:hAnsi="Courier New" w:eastAsia="仿宋_GB2312"/>
          <w:bCs w:val="0"/>
          <w:kern w:val="0"/>
          <w:sz w:val="32"/>
          <w:szCs w:val="32"/>
          <w:lang w:val="en-US" w:eastAsia="zh-CN"/>
        </w:rPr>
        <w:t>总体要求</w:t>
      </w:r>
      <w:bookmarkEnd w:id="114"/>
      <w:bookmarkEnd w:id="115"/>
    </w:p>
    <w:p>
      <w:pPr>
        <w:pStyle w:val="23"/>
        <w:rPr>
          <w:rFonts w:hint="eastAsia" w:ascii="仿宋_GB2312" w:hAnsi="Courier New" w:eastAsia="仿宋_GB2312"/>
          <w:sz w:val="32"/>
          <w:szCs w:val="32"/>
          <w:lang w:val="en-US" w:eastAsia="zh-CN"/>
        </w:rPr>
      </w:pPr>
      <w:bookmarkStart w:id="116" w:name="_Toc277923157"/>
      <w:r>
        <w:rPr>
          <w:rFonts w:hint="eastAsia" w:ascii="仿宋_GB2312" w:hAnsi="Courier New" w:eastAsia="仿宋_GB2312"/>
          <w:sz w:val="32"/>
          <w:szCs w:val="32"/>
          <w:lang w:val="en-US" w:eastAsia="zh-CN"/>
        </w:rPr>
        <w:t>工作范围</w:t>
      </w:r>
      <w:bookmarkEnd w:id="116"/>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卖方必须仔细阅读本规格书，如有问题或发生矛盾，应立即向发标单位以书面形式提出询问。</w:t>
      </w:r>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投标方必须按本规格书所述各工作阶段的期限及时免费向业主提交所需的、符合本规格书要求的技术资料和有关文件。</w:t>
      </w:r>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投标方必须按本规格书的要求完成本次招标设备的设计、制造、运输、调试、试运行、验收、技术培训及售后服务工作。</w:t>
      </w:r>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卖方中标且签定合同后，应合理安排好各项工作，如期向买方提交</w:t>
      </w:r>
      <w:r>
        <w:rPr>
          <w:rFonts w:hint="eastAsia" w:ascii="仿宋_GB2312" w:hAnsi="Courier New" w:eastAsia="仿宋_GB2312" w:cs="Times New Roman"/>
          <w:kern w:val="0"/>
          <w:sz w:val="32"/>
          <w:szCs w:val="32"/>
          <w:lang w:eastAsia="zh-CN"/>
        </w:rPr>
        <w:t>所</w:t>
      </w:r>
      <w:r>
        <w:rPr>
          <w:rFonts w:hint="eastAsia" w:ascii="仿宋_GB2312" w:hAnsi="Courier New" w:eastAsia="仿宋_GB2312" w:cs="Times New Roman"/>
          <w:kern w:val="0"/>
          <w:sz w:val="32"/>
          <w:szCs w:val="32"/>
        </w:rPr>
        <w:t>需附件、工具、备件和资料，只有在得到买方的书面接收证明后，整体工作才算完成。</w:t>
      </w:r>
    </w:p>
    <w:p>
      <w:pPr>
        <w:pStyle w:val="23"/>
        <w:rPr>
          <w:rFonts w:hint="eastAsia" w:ascii="仿宋_GB2312" w:hAnsi="Courier New" w:eastAsia="仿宋_GB2312"/>
          <w:sz w:val="32"/>
          <w:szCs w:val="32"/>
          <w:lang w:val="en-US" w:eastAsia="zh-CN"/>
        </w:rPr>
      </w:pPr>
      <w:bookmarkStart w:id="117" w:name="_Toc277923158"/>
      <w:r>
        <w:rPr>
          <w:rFonts w:hint="eastAsia" w:ascii="仿宋_GB2312" w:hAnsi="Courier New" w:eastAsia="仿宋_GB2312"/>
          <w:sz w:val="32"/>
          <w:szCs w:val="32"/>
          <w:lang w:val="en-US" w:eastAsia="zh-CN"/>
        </w:rPr>
        <w:t>交货要求</w:t>
      </w:r>
      <w:bookmarkEnd w:id="117"/>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交货地点</w:t>
      </w:r>
    </w:p>
    <w:p>
      <w:pPr>
        <w:spacing w:line="360" w:lineRule="auto"/>
        <w:ind w:left="420" w:firstLine="42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业主指定地点</w:t>
      </w:r>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 到货时间</w:t>
      </w:r>
    </w:p>
    <w:p>
      <w:pPr>
        <w:spacing w:line="360" w:lineRule="auto"/>
        <w:ind w:left="289" w:firstLine="42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从业主通知起90天内完成</w:t>
      </w:r>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现场培训和试运行必须在交货后10个工作日内完成。</w:t>
      </w:r>
    </w:p>
    <w:p>
      <w:pPr>
        <w:pStyle w:val="2"/>
        <w:numPr>
          <w:ilvl w:val="0"/>
          <w:numId w:val="3"/>
        </w:numPr>
        <w:tabs>
          <w:tab w:val="left" w:pos="525"/>
          <w:tab w:val="clear" w:pos="425"/>
        </w:tabs>
        <w:adjustRightInd w:val="0"/>
        <w:spacing w:line="578" w:lineRule="atLeast"/>
        <w:jc w:val="left"/>
        <w:textAlignment w:val="baseline"/>
        <w:rPr>
          <w:rFonts w:hint="eastAsia" w:ascii="仿宋_GB2312" w:hAnsi="Courier New" w:eastAsia="仿宋_GB2312"/>
          <w:bCs w:val="0"/>
          <w:kern w:val="0"/>
          <w:sz w:val="32"/>
          <w:szCs w:val="32"/>
          <w:lang w:val="en-US" w:eastAsia="zh-CN"/>
        </w:rPr>
      </w:pPr>
      <w:r>
        <w:rPr>
          <w:rFonts w:hint="eastAsia" w:ascii="仿宋_GB2312" w:hAnsi="Courier New" w:eastAsia="仿宋_GB2312"/>
          <w:bCs w:val="0"/>
          <w:kern w:val="0"/>
          <w:sz w:val="32"/>
          <w:szCs w:val="32"/>
          <w:lang w:val="en-US" w:eastAsia="zh-CN"/>
        </w:rPr>
        <w:br w:type="page"/>
      </w:r>
      <w:bookmarkStart w:id="118" w:name="_Toc277923162"/>
      <w:r>
        <w:rPr>
          <w:rFonts w:hint="eastAsia" w:ascii="仿宋_GB2312" w:hAnsi="Courier New" w:eastAsia="仿宋_GB2312"/>
          <w:bCs w:val="0"/>
          <w:kern w:val="0"/>
          <w:sz w:val="32"/>
          <w:szCs w:val="32"/>
          <w:lang w:val="en-US" w:eastAsia="zh-CN"/>
        </w:rPr>
        <w:t>设备一般要求</w:t>
      </w:r>
      <w:bookmarkEnd w:id="118"/>
    </w:p>
    <w:p>
      <w:pPr>
        <w:pStyle w:val="23"/>
        <w:rPr>
          <w:rFonts w:hint="eastAsia" w:ascii="仿宋_GB2312" w:hAnsi="Courier New" w:eastAsia="仿宋_GB2312"/>
          <w:sz w:val="32"/>
          <w:szCs w:val="32"/>
          <w:lang w:val="en-US" w:eastAsia="zh-CN"/>
        </w:rPr>
      </w:pPr>
      <w:bookmarkStart w:id="119" w:name="_Toc277923163"/>
      <w:r>
        <w:rPr>
          <w:rFonts w:hint="eastAsia" w:ascii="仿宋_GB2312" w:hAnsi="Courier New" w:eastAsia="仿宋_GB2312"/>
          <w:sz w:val="32"/>
          <w:szCs w:val="32"/>
          <w:lang w:val="en-US" w:eastAsia="zh-CN"/>
        </w:rPr>
        <w:t>设备设计要求</w:t>
      </w:r>
      <w:bookmarkEnd w:id="119"/>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该设备是专用于民航空管用户的转报机系统及其终端。转报机系统必须是一个先进的、功能强大的AFTN与SITA电报自动交换的通信系统，采用存储／转发方式，自动地将AFTN／SITA电报及数据转至一个或多个目的地。转报应用软件遵循国际民航组织附件（ICAO Annex 10）及国际航空电信协会SITA的电报处理程序标准（Operating Procedures for Message Handling）。转报机系统必须具有有效地民航电报网络入网许可证。</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该系统要与目前民航运行的转报设备完全兼容。同时以简单的结构提供安全可靠的高性能服务。</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整个系统的设计应符合ISO－9001标准或等价的其它相关标准。所有设备应采用最新的技术，有高度的可靠性、有效性、安全性并易于维护。所有设备应能够24小时连续工作。</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设备应留有足够的测试点以便设备维护。应提供必需的、专门的测试设备和维修工具，以确保业主能进行模块级的维护和维修。投标方应列出必须返厂维修的模块及其数量。为了尽量减少返修时间，投标方应在有足够的库存，以便返修前能更换相关模块。厂商接受到故障件后，应在20个工作日内修复并寄出。</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所有的部件、模块都应易于维护、更换。</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金属外壳应能够防腐蚀或进行过适当的防腐处理。电接点应采取适当的方法处理以保证其电特性不会削弱。所有设备应具有良好的抗高温、防潮，抗过电流和过电压等性能。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厂商接到用户的故障报告后，必须即时作出响应，必要时给予用户现场技术支持。</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所有设备应具有良好的抗振性能，不会因受到周围的振动而发生故障或使性能不稳定。投标方应提出设备所能承受的最大振动的界限，在此界限下设备应能正常运转。</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系统的寿命期内，系统的可用性是99.9999％。</w:t>
      </w:r>
    </w:p>
    <w:p>
      <w:pPr>
        <w:pStyle w:val="23"/>
        <w:rPr>
          <w:rFonts w:hint="eastAsia" w:ascii="仿宋_GB2312" w:hAnsi="Courier New" w:eastAsia="仿宋_GB2312"/>
          <w:sz w:val="32"/>
          <w:szCs w:val="32"/>
          <w:lang w:val="en-US" w:eastAsia="zh-CN"/>
        </w:rPr>
      </w:pPr>
      <w:bookmarkStart w:id="120" w:name="_Toc277923164"/>
      <w:r>
        <w:rPr>
          <w:rFonts w:hint="eastAsia" w:ascii="仿宋_GB2312" w:hAnsi="Courier New" w:eastAsia="仿宋_GB2312"/>
          <w:sz w:val="32"/>
          <w:szCs w:val="32"/>
          <w:lang w:val="en-US" w:eastAsia="zh-CN"/>
        </w:rPr>
        <w:t>设备环境要求</w:t>
      </w:r>
      <w:bookmarkEnd w:id="120"/>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供电电源</w:t>
      </w:r>
    </w:p>
    <w:p>
      <w:pPr>
        <w:numPr>
          <w:ilvl w:val="3"/>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输入电压：AC 220± 22V，50HZ ±5HZ</w:t>
      </w:r>
    </w:p>
    <w:p>
      <w:pPr>
        <w:numPr>
          <w:ilvl w:val="3"/>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在中断供电期间，设备的设定值能保持不变；在恢复正常供电后，设备能立即自动地投入正常运行。</w:t>
      </w:r>
    </w:p>
    <w:p>
      <w:pPr>
        <w:numPr>
          <w:ilvl w:val="3"/>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投标方应详细说明各种设备正常运行时和最大要求的功耗。</w:t>
      </w:r>
    </w:p>
    <w:p>
      <w:pPr>
        <w:numPr>
          <w:ilvl w:val="3"/>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投标方必须详细说明不同设备的接地要求。</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工作环境：</w:t>
      </w:r>
    </w:p>
    <w:p>
      <w:pPr>
        <w:numPr>
          <w:ilvl w:val="0"/>
          <w:numId w:val="4"/>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工作温度：0－＋</w:t>
      </w:r>
      <w:r>
        <w:rPr>
          <w:rFonts w:hint="eastAsia" w:ascii="仿宋_GB2312" w:hAnsi="Courier New" w:eastAsia="仿宋_GB2312" w:cs="Times New Roman"/>
          <w:kern w:val="0"/>
          <w:sz w:val="32"/>
          <w:szCs w:val="32"/>
          <w:lang w:val="en-US" w:eastAsia="zh-CN"/>
        </w:rPr>
        <w:t>3</w:t>
      </w:r>
      <w:r>
        <w:rPr>
          <w:rFonts w:hint="eastAsia" w:ascii="仿宋_GB2312" w:hAnsi="Courier New" w:eastAsia="仿宋_GB2312" w:cs="Times New Roman"/>
          <w:kern w:val="0"/>
          <w:sz w:val="32"/>
          <w:szCs w:val="32"/>
        </w:rPr>
        <w:t>5℃；</w:t>
      </w:r>
    </w:p>
    <w:p>
      <w:pPr>
        <w:numPr>
          <w:ilvl w:val="0"/>
          <w:numId w:val="4"/>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存储／运输温度：－40℃－＋75℃；</w:t>
      </w:r>
    </w:p>
    <w:p>
      <w:pPr>
        <w:numPr>
          <w:ilvl w:val="0"/>
          <w:numId w:val="4"/>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相对湿度：95％（不冷凝）；</w:t>
      </w:r>
    </w:p>
    <w:p>
      <w:pPr>
        <w:numPr>
          <w:ilvl w:val="0"/>
          <w:numId w:val="4"/>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海拔高度：2000米； </w:t>
      </w:r>
    </w:p>
    <w:p>
      <w:pPr>
        <w:pStyle w:val="23"/>
        <w:rPr>
          <w:rFonts w:hint="eastAsia" w:ascii="仿宋_GB2312" w:hAnsi="Courier New" w:eastAsia="仿宋_GB2312"/>
          <w:sz w:val="32"/>
          <w:szCs w:val="32"/>
          <w:lang w:val="en-US" w:eastAsia="zh-CN"/>
        </w:rPr>
      </w:pPr>
      <w:bookmarkStart w:id="121" w:name="_Toc277923165"/>
      <w:r>
        <w:rPr>
          <w:rFonts w:hint="eastAsia" w:ascii="仿宋_GB2312" w:hAnsi="Courier New" w:eastAsia="仿宋_GB2312"/>
          <w:sz w:val="32"/>
          <w:szCs w:val="32"/>
          <w:lang w:val="en-US" w:eastAsia="zh-CN"/>
        </w:rPr>
        <w:t>设备机房要求</w:t>
      </w:r>
      <w:bookmarkEnd w:id="121"/>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业主提供的空调设备将不会有专门的除尘装置。因此要求任何对灰尘敏感的设备应自带除尘装置。任何对空气流通有特殊要求的设备应在投标书中详细说明。</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任何机房空调故障不会导致设备损坏和功能下降。</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设备机柜应具有有效的冷却装置。</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设备正常运行时不会产生过多的热量。设备的散热和通风要求应分条款详细说明。</w:t>
      </w:r>
    </w:p>
    <w:p>
      <w:pPr>
        <w:pStyle w:val="2"/>
        <w:numPr>
          <w:ilvl w:val="0"/>
          <w:numId w:val="3"/>
        </w:numPr>
        <w:tabs>
          <w:tab w:val="left" w:pos="0"/>
          <w:tab w:val="left" w:pos="525"/>
          <w:tab w:val="clear" w:pos="425"/>
        </w:tabs>
        <w:adjustRightInd w:val="0"/>
        <w:spacing w:line="578" w:lineRule="atLeast"/>
        <w:ind w:left="0" w:firstLine="0"/>
        <w:jc w:val="left"/>
        <w:textAlignment w:val="baseline"/>
        <w:rPr>
          <w:rFonts w:hint="eastAsia" w:ascii="仿宋_GB2312" w:hAnsi="Courier New" w:eastAsia="仿宋_GB2312"/>
          <w:bCs w:val="0"/>
          <w:kern w:val="0"/>
          <w:sz w:val="32"/>
          <w:szCs w:val="32"/>
          <w:lang w:val="en-US" w:eastAsia="zh-CN"/>
        </w:rPr>
      </w:pPr>
      <w:bookmarkStart w:id="122" w:name="_Toc277923166"/>
      <w:r>
        <w:rPr>
          <w:rFonts w:hint="eastAsia" w:ascii="仿宋_GB2312" w:hAnsi="Courier New" w:eastAsia="仿宋_GB2312"/>
          <w:bCs w:val="0"/>
          <w:kern w:val="0"/>
          <w:sz w:val="32"/>
          <w:szCs w:val="32"/>
          <w:lang w:val="en-US" w:eastAsia="zh-CN"/>
        </w:rPr>
        <w:t>设备总体性能要求</w:t>
      </w:r>
      <w:bookmarkEnd w:id="122"/>
    </w:p>
    <w:p>
      <w:pPr>
        <w:pStyle w:val="23"/>
        <w:rPr>
          <w:rFonts w:hint="eastAsia" w:ascii="仿宋_GB2312" w:hAnsi="Courier New" w:eastAsia="仿宋_GB2312"/>
          <w:sz w:val="32"/>
          <w:szCs w:val="32"/>
          <w:lang w:val="en-US" w:eastAsia="zh-CN"/>
        </w:rPr>
      </w:pPr>
      <w:bookmarkStart w:id="123" w:name="_Toc277923167"/>
      <w:r>
        <w:rPr>
          <w:rFonts w:hint="eastAsia" w:ascii="仿宋_GB2312" w:hAnsi="Courier New" w:eastAsia="仿宋_GB2312"/>
          <w:sz w:val="32"/>
          <w:szCs w:val="32"/>
          <w:lang w:val="en-US" w:eastAsia="zh-CN"/>
        </w:rPr>
        <w:t>硬件性能特性要求</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系统硬件都采用高质量保证的品牌设备，确保5年内有备件供应或兼容的升档产品，系统质保期为10年。</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lang w:eastAsia="zh-CN"/>
        </w:rPr>
        <w:t>转报主机</w:t>
      </w:r>
      <w:r>
        <w:rPr>
          <w:rFonts w:hint="eastAsia" w:ascii="仿宋_GB2312" w:hAnsi="Courier New" w:eastAsia="仿宋_GB2312" w:cs="Times New Roman"/>
          <w:kern w:val="0"/>
          <w:sz w:val="32"/>
          <w:szCs w:val="32"/>
        </w:rPr>
        <w:t>和终端 ，具备7*24小时的工作要求，具有较强的稳定性和抗干扰性。</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系统能提供安全长效的数据存储。</w:t>
      </w:r>
    </w:p>
    <w:p>
      <w:pPr>
        <w:numPr>
          <w:ilvl w:val="2"/>
          <w:numId w:val="3"/>
        </w:numPr>
        <w:spacing w:line="300" w:lineRule="auto"/>
        <w:rPr>
          <w:rFonts w:hint="eastAsia" w:ascii="仿宋_GB2312" w:hAnsi="Courier New" w:eastAsia="仿宋_GB2312" w:cs="Times New Roman"/>
          <w:color w:val="000000" w:themeColor="text1"/>
          <w:kern w:val="0"/>
          <w:sz w:val="32"/>
          <w:szCs w:val="32"/>
          <w14:textFill>
            <w14:solidFill>
              <w14:schemeClr w14:val="tx1"/>
            </w14:solidFill>
          </w14:textFill>
        </w:rPr>
      </w:pPr>
      <w:r>
        <w:rPr>
          <w:rFonts w:hint="eastAsia" w:ascii="仿宋_GB2312" w:hAnsi="Courier New" w:eastAsia="仿宋_GB2312" w:cs="Times New Roman"/>
          <w:kern w:val="0"/>
          <w:sz w:val="32"/>
          <w:szCs w:val="32"/>
        </w:rPr>
        <w:t>★</w:t>
      </w:r>
      <w:r>
        <w:rPr>
          <w:rFonts w:hint="eastAsia" w:ascii="仿宋_GB2312" w:hAnsi="Courier New" w:eastAsia="仿宋_GB2312" w:cs="Times New Roman"/>
          <w:color w:val="000000" w:themeColor="text1"/>
          <w:kern w:val="0"/>
          <w:sz w:val="32"/>
          <w:szCs w:val="32"/>
          <w:lang w:val="en-US" w:eastAsia="zh-CN"/>
          <w14:textFill>
            <w14:solidFill>
              <w14:schemeClr w14:val="tx1"/>
            </w14:solidFill>
          </w14:textFill>
        </w:rPr>
        <w:t>支持不同厂家设备组成主备系统。</w:t>
      </w:r>
    </w:p>
    <w:p>
      <w:pPr>
        <w:pStyle w:val="23"/>
        <w:rPr>
          <w:rFonts w:hint="eastAsia" w:ascii="仿宋_GB2312" w:hAnsi="Courier New" w:eastAsia="仿宋_GB2312"/>
          <w:sz w:val="32"/>
          <w:szCs w:val="32"/>
          <w:lang w:val="en-US" w:eastAsia="zh-CN"/>
        </w:rPr>
      </w:pPr>
      <w:r>
        <w:rPr>
          <w:rFonts w:hint="eastAsia" w:ascii="仿宋_GB2312" w:hAnsi="Courier New" w:eastAsia="仿宋_GB2312"/>
          <w:sz w:val="32"/>
          <w:szCs w:val="32"/>
          <w:lang w:val="en-US" w:eastAsia="zh-CN"/>
        </w:rPr>
        <w:t>软件性能特性要求</w:t>
      </w:r>
      <w:bookmarkEnd w:id="123"/>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安全性高：系统具有分级密码设定功能，不同级别所能进行的操作不同，级别高的管理人员能随时限定级别低的操作范围，系统能自动记录一切重要资料的操作过程，重要的操作要校正口令，以防某些操作员在别人的终端进行非法操作。</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配置灵活：提供在线的电路和路由配置的功能。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操作方便：系统的安装、管理、控制和配置等都为友好的用户界面，用户可以通过较少的操作来完成各种功能。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兼容性：本系统同时支持AFTN／SITA两种电报格式电文的自动中转，符合中国民航现行通信体制。</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转报处理软件要不依赖或固化于硬件，与今后计算机硬件升级无关。</w:t>
      </w:r>
    </w:p>
    <w:p>
      <w:pPr>
        <w:pStyle w:val="23"/>
        <w:rPr>
          <w:rFonts w:hint="eastAsia" w:ascii="仿宋_GB2312" w:hAnsi="Courier New" w:eastAsia="仿宋_GB2312"/>
          <w:sz w:val="32"/>
          <w:szCs w:val="32"/>
          <w:lang w:val="en-US" w:eastAsia="zh-CN"/>
        </w:rPr>
      </w:pPr>
      <w:bookmarkStart w:id="124" w:name="_Toc277923168"/>
      <w:r>
        <w:rPr>
          <w:rFonts w:hint="eastAsia" w:ascii="仿宋_GB2312" w:hAnsi="Courier New" w:eastAsia="仿宋_GB2312"/>
          <w:sz w:val="32"/>
          <w:szCs w:val="32"/>
          <w:lang w:val="en-US" w:eastAsia="zh-CN"/>
        </w:rPr>
        <w:t>电报处理要求</w:t>
      </w:r>
      <w:bookmarkEnd w:id="124"/>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在每份电报的长度不超过2100个字符时，日处理电报业务收发总量不小于100万份。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电报可查询日期不低于之前的12个月。</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在电报存取的有效期内能进行查询、重转、编辑、打印等功能。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支持长报文（大于2100个字符的报文）存储／转发。</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给各端口提供数据发送有关信息并向系统控制席确认电报信息。</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系统具有报文统计功能。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SITA报可支持 32个地址，AFTN可支持21个地址。</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电报信息和相关数据（如监控数据、统计数据）在日电报量为100万份时，能自动保留60天（每天24小时）。</w:t>
      </w:r>
    </w:p>
    <w:p>
      <w:pPr>
        <w:pStyle w:val="23"/>
        <w:rPr>
          <w:rFonts w:hint="eastAsia" w:ascii="仿宋_GB2312" w:hAnsi="Courier New" w:eastAsia="仿宋_GB2312"/>
          <w:sz w:val="32"/>
          <w:szCs w:val="32"/>
          <w:lang w:val="en-US" w:eastAsia="zh-CN"/>
        </w:rPr>
      </w:pPr>
      <w:bookmarkStart w:id="125" w:name="_Toc277923169"/>
      <w:r>
        <w:rPr>
          <w:rFonts w:hint="eastAsia" w:ascii="仿宋_GB2312" w:hAnsi="Courier New" w:eastAsia="仿宋_GB2312"/>
          <w:sz w:val="32"/>
          <w:szCs w:val="32"/>
          <w:lang w:val="en-US" w:eastAsia="zh-CN"/>
        </w:rPr>
        <w:t>物理端口要求</w:t>
      </w:r>
      <w:bookmarkEnd w:id="125"/>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★系统支持标准的硬件接口，如RS-232和4MA双流环以及TCP／IP方式。通过不同的接口，系统可以使用不同的传输介质传输数据。系统应提供32个异步端口。可以在不停机的情况下实现下列工作模式或任意组合：</w:t>
      </w:r>
    </w:p>
    <w:p>
      <w:pPr>
        <w:widowControl/>
        <w:numPr>
          <w:ilvl w:val="0"/>
          <w:numId w:val="5"/>
        </w:numPr>
        <w:tabs>
          <w:tab w:val="left" w:pos="630"/>
          <w:tab w:val="left" w:pos="840"/>
          <w:tab w:val="clear" w:pos="846"/>
        </w:tabs>
        <w:spacing w:line="300" w:lineRule="auto"/>
        <w:ind w:left="1480" w:leftChars="400" w:hanging="640" w:hanging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32个异步RS-232模式端口</w:t>
      </w:r>
    </w:p>
    <w:p>
      <w:pPr>
        <w:widowControl/>
        <w:numPr>
          <w:ilvl w:val="0"/>
          <w:numId w:val="5"/>
        </w:numPr>
        <w:tabs>
          <w:tab w:val="left" w:pos="630"/>
          <w:tab w:val="left" w:pos="840"/>
          <w:tab w:val="clear" w:pos="846"/>
        </w:tabs>
        <w:spacing w:line="300" w:lineRule="auto"/>
        <w:ind w:left="1480" w:leftChars="400" w:hanging="640" w:hanging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32个异步4MA双流环模式端口</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电报终端的输入输出电压和电流应与转报机一致。</w:t>
      </w:r>
    </w:p>
    <w:p>
      <w:pPr>
        <w:pStyle w:val="23"/>
        <w:rPr>
          <w:rFonts w:hint="eastAsia" w:ascii="仿宋_GB2312" w:hAnsi="Courier New" w:eastAsia="仿宋_GB2312"/>
          <w:sz w:val="32"/>
          <w:szCs w:val="32"/>
          <w:lang w:val="en-US" w:eastAsia="zh-CN"/>
        </w:rPr>
      </w:pPr>
      <w:bookmarkStart w:id="126" w:name="_Toc277923170"/>
      <w:r>
        <w:rPr>
          <w:rFonts w:hint="eastAsia" w:ascii="仿宋_GB2312" w:hAnsi="Courier New" w:eastAsia="仿宋_GB2312"/>
          <w:sz w:val="32"/>
          <w:szCs w:val="32"/>
          <w:lang w:val="en-US" w:eastAsia="zh-CN"/>
        </w:rPr>
        <w:t>硬件扩展性要求</w:t>
      </w:r>
      <w:bookmarkEnd w:id="126"/>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在不对转报软件和硬件进行重大升级基础上，能方便的扩展通信端口。</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软件升级快捷。</w:t>
      </w:r>
    </w:p>
    <w:p>
      <w:pPr>
        <w:pStyle w:val="23"/>
        <w:rPr>
          <w:rFonts w:hint="eastAsia" w:ascii="仿宋_GB2312" w:hAnsi="Courier New" w:eastAsia="仿宋_GB2312"/>
          <w:sz w:val="32"/>
          <w:szCs w:val="32"/>
          <w:lang w:val="en-US" w:eastAsia="zh-CN"/>
        </w:rPr>
      </w:pPr>
      <w:bookmarkStart w:id="127" w:name="_Toc277923171"/>
      <w:r>
        <w:rPr>
          <w:rFonts w:hint="eastAsia" w:ascii="仿宋_GB2312" w:hAnsi="Courier New" w:eastAsia="仿宋_GB2312"/>
          <w:sz w:val="32"/>
          <w:szCs w:val="32"/>
          <w:lang w:val="en-US" w:eastAsia="zh-CN"/>
        </w:rPr>
        <w:t>系统维护性要求</w:t>
      </w:r>
      <w:bookmarkEnd w:id="127"/>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具有通过远端计算机进行实时监视、维护和诊断系统运行的能力。</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对于路由表和统计数字等重要的用户资料可进行快速备份与恢复。</w:t>
      </w:r>
    </w:p>
    <w:p>
      <w:pPr>
        <w:pStyle w:val="23"/>
        <w:rPr>
          <w:rFonts w:hint="eastAsia" w:ascii="仿宋_GB2312" w:hAnsi="Courier New" w:eastAsia="仿宋_GB2312"/>
          <w:sz w:val="32"/>
          <w:szCs w:val="32"/>
          <w:lang w:val="en-US" w:eastAsia="zh-CN"/>
        </w:rPr>
      </w:pPr>
      <w:bookmarkStart w:id="128" w:name="_Toc277923172"/>
      <w:r>
        <w:rPr>
          <w:rFonts w:hint="eastAsia" w:ascii="仿宋_GB2312" w:hAnsi="Courier New" w:eastAsia="仿宋_GB2312"/>
          <w:sz w:val="32"/>
          <w:szCs w:val="32"/>
          <w:lang w:val="en-US" w:eastAsia="zh-CN"/>
        </w:rPr>
        <w:t>系统安全性要求</w:t>
      </w:r>
      <w:bookmarkEnd w:id="128"/>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电报处理机作为自动转报机的核心部件之一，应采用双设备保障模式，即主用设备和备用设备。两台设备之间的各种数据要保持实时同步。当主用设备出现故障时，应自动切换到备份设备上，切换时不能丢失电报，不能影响整个系统的正常工作。</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系统可根据不同的维护级别，进行维护权限的设置。</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对于影响转报系统正常工作的路由表等参数的设置，系统要有相应的记录。</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系统软件采用模块化设计，当不重要的软件模块出现故障时，并不影响整个转报系统的电报转发工作。</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★为保证双机切换时的可靠性，两台处理机的系统时钟实时同步不应依赖GPS授时系统。</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具有监视运行状态的功能。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所有电报处理机都应配备上述数据库，并保持在用的电报处理机电报数据实时同步。</w:t>
      </w:r>
    </w:p>
    <w:p>
      <w:pPr>
        <w:pStyle w:val="23"/>
        <w:rPr>
          <w:rFonts w:hint="eastAsia" w:ascii="仿宋_GB2312" w:hAnsi="Courier New" w:eastAsia="仿宋_GB2312"/>
          <w:sz w:val="32"/>
          <w:szCs w:val="32"/>
          <w:lang w:val="en-US" w:eastAsia="zh-CN"/>
        </w:rPr>
      </w:pPr>
      <w:bookmarkStart w:id="129" w:name="_Toc277923173"/>
      <w:r>
        <w:rPr>
          <w:rFonts w:hint="eastAsia" w:ascii="仿宋_GB2312" w:hAnsi="Courier New" w:eastAsia="仿宋_GB2312"/>
          <w:sz w:val="32"/>
          <w:szCs w:val="32"/>
          <w:lang w:val="en-US" w:eastAsia="zh-CN"/>
        </w:rPr>
        <w:t>故障告警要求</w:t>
      </w:r>
      <w:bookmarkEnd w:id="129"/>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具备声光告警功能。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具备收、发线异常告警功能。</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某一路电报流水号不顺号告警。</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主、备电报处理机故障自动切换告警。</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主、备异步协议转换器故障自动切换告警。</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告警状态要有记录且不得人为修改。</w:t>
      </w:r>
    </w:p>
    <w:p>
      <w:pPr>
        <w:spacing w:line="300" w:lineRule="auto"/>
        <w:rPr>
          <w:rFonts w:hint="eastAsia" w:ascii="仿宋_GB2312" w:hAnsi="Courier New" w:eastAsia="仿宋_GB2312" w:cs="Times New Roman"/>
          <w:kern w:val="0"/>
          <w:sz w:val="32"/>
          <w:szCs w:val="32"/>
        </w:rPr>
      </w:pPr>
      <w:bookmarkStart w:id="130" w:name="_Toc517579989"/>
      <w:bookmarkStart w:id="131" w:name="_Toc277923174"/>
      <w:r>
        <w:rPr>
          <w:rFonts w:hint="eastAsia" w:ascii="仿宋_GB2312" w:hAnsi="Courier New" w:eastAsia="仿宋_GB2312" w:cs="Times New Roman"/>
          <w:kern w:val="0"/>
          <w:sz w:val="32"/>
          <w:szCs w:val="32"/>
        </w:rPr>
        <w:t>培训、验收和服务</w:t>
      </w:r>
      <w:bookmarkEnd w:id="130"/>
      <w:bookmarkEnd w:id="131"/>
    </w:p>
    <w:p>
      <w:pPr>
        <w:pStyle w:val="23"/>
        <w:rPr>
          <w:rFonts w:hint="eastAsia" w:ascii="仿宋_GB2312" w:hAnsi="Courier New" w:eastAsia="仿宋_GB2312"/>
          <w:sz w:val="32"/>
          <w:szCs w:val="32"/>
          <w:lang w:val="en-US" w:eastAsia="zh-CN"/>
        </w:rPr>
      </w:pPr>
      <w:bookmarkStart w:id="132" w:name="_Toc277923175"/>
      <w:bookmarkStart w:id="133" w:name="_Toc517579990"/>
      <w:r>
        <w:rPr>
          <w:rFonts w:hint="eastAsia" w:ascii="仿宋_GB2312" w:hAnsi="Courier New" w:eastAsia="仿宋_GB2312"/>
          <w:sz w:val="32"/>
          <w:szCs w:val="32"/>
          <w:lang w:val="en-US" w:eastAsia="zh-CN"/>
        </w:rPr>
        <w:t>技术培训</w:t>
      </w:r>
      <w:bookmarkEnd w:id="132"/>
      <w:bookmarkEnd w:id="133"/>
    </w:p>
    <w:p>
      <w:pPr>
        <w:numPr>
          <w:ilvl w:val="2"/>
          <w:numId w:val="3"/>
        </w:numPr>
        <w:tabs>
          <w:tab w:val="left" w:pos="540"/>
          <w:tab w:val="clear" w:pos="709"/>
        </w:tabs>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投标方应对业主的技术人员和操作、维修人员进行现场培训3天，不限人数。</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经过培训，使受训人员了解设备结构、工作原理，并能排除一般故障。</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投标方派出的培训教员应在所提供的产品上有丰富的实际运行操作和维护经验。</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技术培训应包括理论培训和现场实际操作培训。</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培训应使受训人员掌握故障诊断、故障排除和设备维护的技能。要重点培养动手操作能力。</w:t>
      </w:r>
    </w:p>
    <w:p>
      <w:pPr>
        <w:pStyle w:val="23"/>
        <w:rPr>
          <w:rFonts w:hint="eastAsia" w:ascii="仿宋_GB2312" w:hAnsi="Courier New" w:eastAsia="仿宋_GB2312"/>
          <w:sz w:val="32"/>
          <w:szCs w:val="32"/>
          <w:lang w:val="en-US" w:eastAsia="zh-CN"/>
        </w:rPr>
      </w:pPr>
      <w:bookmarkStart w:id="134" w:name="_Toc517579991"/>
      <w:bookmarkStart w:id="135" w:name="_Toc277923176"/>
      <w:r>
        <w:rPr>
          <w:rFonts w:hint="eastAsia" w:ascii="仿宋_GB2312" w:hAnsi="Courier New" w:eastAsia="仿宋_GB2312"/>
          <w:sz w:val="32"/>
          <w:szCs w:val="32"/>
          <w:lang w:val="en-US" w:eastAsia="zh-CN"/>
        </w:rPr>
        <w:t>资料要求</w:t>
      </w:r>
      <w:bookmarkEnd w:id="134"/>
      <w:bookmarkEnd w:id="135"/>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投标方应提供2套设备手册，包括2套电子文档给业主，内容应包括设备说明、操作规范和维修指南以及投标方外购器件的详细资料等。</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设备手册应至少包括以下内容：</w:t>
      </w:r>
    </w:p>
    <w:p>
      <w:pPr>
        <w:numPr>
          <w:ilvl w:val="3"/>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技术性能指标</w:t>
      </w:r>
    </w:p>
    <w:p>
      <w:pPr>
        <w:spacing w:line="300" w:lineRule="auto"/>
        <w:ind w:left="84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全面介绍各个模块的功能、运行原理等，应包括方框图、配线图、机械图等各种图表；</w:t>
      </w:r>
    </w:p>
    <w:p>
      <w:pPr>
        <w:numPr>
          <w:ilvl w:val="3"/>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其它有用信息</w:t>
      </w:r>
    </w:p>
    <w:p>
      <w:pPr>
        <w:spacing w:line="300" w:lineRule="auto"/>
        <w:ind w:firstLine="640" w:firstLineChars="20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投标方应提供1套包括上述内容的磁盘文件，要求能在WINDOWS操作系统下运行。</w:t>
      </w:r>
    </w:p>
    <w:p>
      <w:pPr>
        <w:pStyle w:val="23"/>
        <w:rPr>
          <w:rFonts w:hint="eastAsia" w:ascii="仿宋_GB2312" w:hAnsi="Courier New" w:eastAsia="仿宋_GB2312"/>
          <w:sz w:val="32"/>
          <w:szCs w:val="32"/>
          <w:lang w:val="en-US" w:eastAsia="zh-CN"/>
        </w:rPr>
      </w:pPr>
      <w:bookmarkStart w:id="136" w:name="_Toc517579992"/>
      <w:bookmarkStart w:id="137" w:name="_Toc277923177"/>
      <w:r>
        <w:rPr>
          <w:rFonts w:hint="eastAsia" w:ascii="仿宋_GB2312" w:hAnsi="Courier New" w:eastAsia="仿宋_GB2312"/>
          <w:sz w:val="32"/>
          <w:szCs w:val="32"/>
          <w:lang w:val="en-US" w:eastAsia="zh-CN"/>
        </w:rPr>
        <w:t>设备安装和试运行</w:t>
      </w:r>
      <w:bookmarkEnd w:id="136"/>
      <w:bookmarkEnd w:id="137"/>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投标方负责全部设备的指导安装、现场调试和试运行；</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投标方应及时提供详尽的、有关安装的技术信息和要求。</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投标方应自带安装、调试和试运行所需的工具和调试仪器。</w:t>
      </w:r>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投标方无需承担有关建筑物的结构设计等工作，但应提供与设备安装和布置相关的信息，包括系统对建筑和机房的要求等。</w:t>
      </w:r>
    </w:p>
    <w:p>
      <w:pPr>
        <w:pStyle w:val="23"/>
        <w:rPr>
          <w:rFonts w:hint="eastAsia" w:ascii="仿宋_GB2312" w:hAnsi="Courier New" w:eastAsia="仿宋_GB2312"/>
          <w:sz w:val="32"/>
          <w:szCs w:val="32"/>
          <w:lang w:val="en-US" w:eastAsia="zh-CN"/>
        </w:rPr>
      </w:pPr>
      <w:bookmarkStart w:id="138" w:name="_Toc517579993"/>
      <w:bookmarkStart w:id="139" w:name="_Toc277923178"/>
      <w:r>
        <w:rPr>
          <w:rFonts w:hint="eastAsia" w:ascii="仿宋_GB2312" w:hAnsi="Courier New" w:eastAsia="仿宋_GB2312"/>
          <w:sz w:val="32"/>
          <w:szCs w:val="32"/>
          <w:lang w:val="en-US" w:eastAsia="zh-CN"/>
        </w:rPr>
        <w:t>验收和担保</w:t>
      </w:r>
      <w:bookmarkEnd w:id="138"/>
      <w:bookmarkEnd w:id="139"/>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投标方应在工作现场对设备进行现场测试，以检验并向业主展示其功能符合本文件所列的要求。投标方应在发货时向业主提交现场检验的程序及详细内容，供业主确认。</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现场可靠性验收在现场验收测试完成后两天内开始，期限为31天。期间，用户必须使系统工作在正常的工作环境下，并给予正常的周期性的维护，在此条件下，如果出现以下任何一种情况：</w:t>
      </w:r>
    </w:p>
    <w:p>
      <w:pPr>
        <w:numPr>
          <w:ilvl w:val="0"/>
          <w:numId w:val="6"/>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因为软件或硬件的原因，自动转报系统出现通信中断的故障；</w:t>
      </w:r>
    </w:p>
    <w:p>
      <w:pPr>
        <w:numPr>
          <w:ilvl w:val="0"/>
          <w:numId w:val="6"/>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发生了任何不能修复的故障；</w:t>
      </w:r>
    </w:p>
    <w:p>
      <w:pPr>
        <w:spacing w:line="300" w:lineRule="auto"/>
        <w:ind w:left="709"/>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现场可靠性验收都将终止，并在故障恢复后两天内重新开始。</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投标方应为所有设备提供为期1年的免费保修，即期间因为自动转报系统中任何部件故障所发生的费用都由厂商负责。时间从现场可靠性验收合格之日起计算。</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在1年的保修期内，投标方应保持有足够的、各种设备型号的备件，以便能及时、迅速的更换发生故障的模块和部件。</w:t>
      </w:r>
    </w:p>
    <w:p>
      <w:pPr>
        <w:numPr>
          <w:ilvl w:val="2"/>
          <w:numId w:val="3"/>
        </w:numPr>
        <w:spacing w:line="36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根据系统设计寿命10年的要求，投标方应保证提供不少于10年的备件供应。</w:t>
      </w:r>
    </w:p>
    <w:p>
      <w:pPr>
        <w:pStyle w:val="23"/>
        <w:rPr>
          <w:rFonts w:hint="eastAsia" w:ascii="仿宋_GB2312" w:hAnsi="Courier New" w:eastAsia="仿宋_GB2312"/>
          <w:sz w:val="32"/>
          <w:szCs w:val="32"/>
          <w:lang w:val="en-US" w:eastAsia="zh-CN"/>
        </w:rPr>
      </w:pPr>
      <w:bookmarkStart w:id="140" w:name="_Toc517579994"/>
      <w:bookmarkStart w:id="141" w:name="_Toc277923179"/>
      <w:r>
        <w:rPr>
          <w:rFonts w:hint="eastAsia" w:ascii="仿宋_GB2312" w:hAnsi="Courier New" w:eastAsia="仿宋_GB2312"/>
          <w:sz w:val="32"/>
          <w:szCs w:val="32"/>
          <w:lang w:val="en-US" w:eastAsia="zh-CN"/>
        </w:rPr>
        <w:t>维护与技术支持</w:t>
      </w:r>
      <w:bookmarkEnd w:id="140"/>
      <w:bookmarkEnd w:id="141"/>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业主将负责整个系统的维护，投标方应向业主推荐和提供专门的工具和测试仪器以便维护。</w:t>
      </w:r>
    </w:p>
    <w:p>
      <w:pPr>
        <w:numPr>
          <w:ilvl w:val="2"/>
          <w:numId w:val="3"/>
        </w:numPr>
        <w:spacing w:line="300" w:lineRule="auto"/>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在系统的整个运行期内，投标方应提供的技术支持服务，包括对今后系统升级的建议。</w:t>
      </w:r>
    </w:p>
    <w:p>
      <w:pPr>
        <w:numPr>
          <w:ilvl w:val="2"/>
          <w:numId w:val="3"/>
        </w:numPr>
        <w:spacing w:line="300" w:lineRule="auto"/>
        <w:rPr>
          <w:rStyle w:val="28"/>
          <w:rFonts w:hint="eastAsia"/>
        </w:rPr>
      </w:pPr>
      <w:r>
        <w:rPr>
          <w:rFonts w:hint="eastAsia" w:ascii="仿宋_GB2312" w:hAnsi="Courier New" w:eastAsia="仿宋_GB2312" w:cs="Times New Roman"/>
          <w:kern w:val="0"/>
          <w:sz w:val="32"/>
          <w:szCs w:val="32"/>
        </w:rPr>
        <w:t>如果设备因设计和生产失误而需修改和更正，投标方应提供相关信息并负责免费更换。投标方应为所有设备提供为期1年的免费升级，时间从验收合格之日起计算。</w:t>
      </w:r>
    </w:p>
    <w:p>
      <w:pPr>
        <w:pStyle w:val="3"/>
        <w:rPr>
          <w:rFonts w:hint="eastAsia"/>
          <w:highlight w:val="none"/>
          <w:lang w:val="en-US" w:eastAsia="zh-CN"/>
        </w:rPr>
      </w:pPr>
      <w:r>
        <w:rPr>
          <w:rFonts w:hint="eastAsia"/>
          <w:highlight w:val="none"/>
          <w:lang w:val="en-US" w:eastAsia="zh-CN"/>
        </w:rPr>
        <w:t>三、业绩要求：</w:t>
      </w:r>
    </w:p>
    <w:p>
      <w:pPr>
        <w:pStyle w:val="4"/>
        <w:numPr>
          <w:ilvl w:val="0"/>
          <w:numId w:val="0"/>
        </w:numPr>
        <w:spacing w:line="377" w:lineRule="auto"/>
        <w:ind w:firstLine="640" w:firstLineChars="200"/>
        <w:rPr>
          <w:rFonts w:hint="eastAsia" w:ascii="仿宋_GB2312" w:hAnsi="Courier New" w:eastAsia="仿宋_GB2312" w:cs="Times New Roman"/>
          <w:b w:val="0"/>
          <w:sz w:val="32"/>
          <w:szCs w:val="32"/>
          <w:highlight w:val="none"/>
        </w:rPr>
      </w:pPr>
      <w:r>
        <w:rPr>
          <w:rFonts w:hint="eastAsia" w:ascii="仿宋_GB2312" w:hAnsi="Courier New" w:eastAsia="仿宋_GB2312" w:cs="Times New Roman"/>
          <w:b w:val="0"/>
          <w:sz w:val="32"/>
          <w:szCs w:val="32"/>
          <w:highlight w:val="none"/>
        </w:rPr>
        <w:t>该系统要求是符合设备性能要求的成熟产品，应符合国家质量认证体系并且拥有成熟的用户群，近3年内(2015-2017年)已在民航空管系统内安装并使用</w:t>
      </w:r>
      <w:r>
        <w:rPr>
          <w:rFonts w:hint="eastAsia" w:ascii="仿宋_GB2312" w:hAnsi="Courier New" w:eastAsia="仿宋_GB2312" w:cs="Times New Roman"/>
          <w:b w:val="0"/>
          <w:color w:val="000000" w:themeColor="text1"/>
          <w:sz w:val="32"/>
          <w:szCs w:val="32"/>
          <w:highlight w:val="none"/>
          <w:lang w:val="en-US" w:eastAsia="zh-CN"/>
          <w14:textFill>
            <w14:solidFill>
              <w14:schemeClr w14:val="tx1"/>
            </w14:solidFill>
          </w14:textFill>
        </w:rPr>
        <w:t>16</w:t>
      </w:r>
      <w:r>
        <w:rPr>
          <w:rFonts w:hint="eastAsia" w:ascii="仿宋_GB2312" w:hAnsi="Courier New" w:eastAsia="仿宋_GB2312" w:cs="Times New Roman"/>
          <w:b w:val="0"/>
          <w:color w:val="000000" w:themeColor="text1"/>
          <w:sz w:val="32"/>
          <w:szCs w:val="32"/>
          <w:highlight w:val="none"/>
          <w14:textFill>
            <w14:solidFill>
              <w14:schemeClr w14:val="tx1"/>
            </w14:solidFill>
          </w14:textFill>
        </w:rPr>
        <w:t>路或以上的系统，并列出同类产品已经安装的地点和时间，并提供合同复印件</w:t>
      </w:r>
      <w:r>
        <w:rPr>
          <w:rFonts w:hint="eastAsia" w:ascii="仿宋_GB2312" w:hAnsi="Courier New" w:eastAsia="仿宋_GB2312" w:cs="Times New Roman"/>
          <w:b w:val="0"/>
          <w:color w:val="000000" w:themeColor="text1"/>
          <w:sz w:val="32"/>
          <w:szCs w:val="32"/>
          <w:highlight w:val="none"/>
          <w:lang w:val="en-US" w:eastAsia="zh-CN"/>
          <w14:textFill>
            <w14:solidFill>
              <w14:schemeClr w14:val="tx1"/>
            </w14:solidFill>
          </w14:textFill>
        </w:rPr>
        <w:t>及用户证明</w:t>
      </w:r>
      <w:r>
        <w:rPr>
          <w:rFonts w:hint="eastAsia" w:ascii="仿宋_GB2312" w:hAnsi="Courier New" w:eastAsia="仿宋_GB2312" w:cs="Times New Roman"/>
          <w:b w:val="0"/>
          <w:color w:val="000000" w:themeColor="text1"/>
          <w:sz w:val="32"/>
          <w:szCs w:val="32"/>
          <w:highlight w:val="none"/>
          <w14:textFill>
            <w14:solidFill>
              <w14:schemeClr w14:val="tx1"/>
            </w14:solidFill>
          </w14:textFill>
        </w:rPr>
        <w:t>等</w:t>
      </w:r>
      <w:r>
        <w:rPr>
          <w:rFonts w:hint="eastAsia" w:ascii="仿宋_GB2312" w:hAnsi="Courier New" w:eastAsia="仿宋_GB2312" w:cs="Times New Roman"/>
          <w:b w:val="0"/>
          <w:sz w:val="32"/>
          <w:szCs w:val="32"/>
          <w:highlight w:val="none"/>
        </w:rPr>
        <w:t>相应证明。</w:t>
      </w:r>
    </w:p>
    <w:p>
      <w:pPr>
        <w:spacing w:line="300" w:lineRule="auto"/>
        <w:jc w:val="center"/>
        <w:rPr>
          <w:rStyle w:val="28"/>
          <w:rFonts w:hint="eastAsia"/>
        </w:rPr>
      </w:pPr>
      <w:r>
        <w:rPr>
          <w:rStyle w:val="28"/>
          <w:rFonts w:hint="eastAsia"/>
        </w:rPr>
        <w:br w:type="page"/>
      </w:r>
      <w:r>
        <w:rPr>
          <w:rStyle w:val="28"/>
          <w:rFonts w:hint="eastAsia"/>
        </w:rPr>
        <w:t>第三章 供应商须知</w:t>
      </w:r>
      <w:bookmarkEnd w:id="103"/>
      <w:bookmarkEnd w:id="104"/>
      <w:bookmarkEnd w:id="105"/>
      <w:bookmarkEnd w:id="106"/>
      <w:bookmarkEnd w:id="107"/>
      <w:bookmarkEnd w:id="108"/>
      <w:bookmarkEnd w:id="109"/>
      <w:bookmarkEnd w:id="110"/>
      <w:bookmarkEnd w:id="111"/>
      <w:bookmarkEnd w:id="112"/>
    </w:p>
    <w:bookmarkEnd w:id="113"/>
    <w:p>
      <w:pPr>
        <w:pStyle w:val="3"/>
        <w:rPr>
          <w:rFonts w:hint="eastAsia"/>
          <w:lang w:eastAsia="zh-CN"/>
        </w:rPr>
      </w:pPr>
      <w:bookmarkStart w:id="142" w:name="_Toc17177"/>
      <w:bookmarkStart w:id="143" w:name="_Toc15995"/>
      <w:bookmarkStart w:id="144" w:name="_Toc17322"/>
      <w:bookmarkStart w:id="145" w:name="_Toc32547"/>
      <w:bookmarkStart w:id="146" w:name="_Toc28956"/>
      <w:bookmarkStart w:id="147" w:name="_Toc19573"/>
      <w:bookmarkStart w:id="148" w:name="_Toc24135"/>
      <w:bookmarkStart w:id="149" w:name="_Toc2114"/>
      <w:bookmarkStart w:id="150" w:name="_Toc20469_WPSOffice_Level2"/>
      <w:r>
        <w:rPr>
          <w:rFonts w:hint="eastAsia"/>
          <w:lang w:eastAsia="zh-CN"/>
        </w:rPr>
        <w:t>一、供应商资格要求</w:t>
      </w:r>
      <w:bookmarkEnd w:id="142"/>
      <w:bookmarkEnd w:id="143"/>
      <w:bookmarkEnd w:id="144"/>
      <w:bookmarkEnd w:id="145"/>
      <w:bookmarkEnd w:id="146"/>
      <w:bookmarkEnd w:id="147"/>
      <w:bookmarkEnd w:id="148"/>
      <w:bookmarkEnd w:id="149"/>
      <w:bookmarkEnd w:id="150"/>
    </w:p>
    <w:p>
      <w:pPr>
        <w:ind w:firstLine="640" w:firstLineChars="200"/>
        <w:rPr>
          <w:rFonts w:hint="eastAsia" w:ascii="仿宋_GB2312" w:hAnsi="Courier New" w:eastAsia="仿宋_GB2312" w:cs="Times New Roman"/>
          <w:kern w:val="0"/>
          <w:sz w:val="32"/>
          <w:szCs w:val="32"/>
        </w:rPr>
      </w:pPr>
      <w:bookmarkStart w:id="151" w:name="_Toc497313879"/>
      <w:bookmarkStart w:id="152" w:name="_Toc17234"/>
      <w:bookmarkStart w:id="153" w:name="_Toc23781"/>
      <w:bookmarkStart w:id="154" w:name="_Toc3591"/>
      <w:bookmarkStart w:id="155" w:name="_Toc9362"/>
      <w:bookmarkStart w:id="156" w:name="_Toc19865"/>
      <w:bookmarkStart w:id="157" w:name="_Toc2167"/>
      <w:bookmarkStart w:id="158" w:name="_Toc23782"/>
      <w:r>
        <w:rPr>
          <w:rFonts w:hint="eastAsia" w:ascii="仿宋_GB2312" w:hAnsi="Courier New" w:eastAsia="仿宋_GB2312" w:cs="Times New Roman"/>
          <w:kern w:val="0"/>
          <w:sz w:val="32"/>
          <w:szCs w:val="32"/>
        </w:rPr>
        <w:t>供应商应符合《中华人民共和国政府采购法》第二十二条规定的条件：</w:t>
      </w:r>
    </w:p>
    <w:p>
      <w:pPr>
        <w:numPr>
          <w:ilvl w:val="0"/>
          <w:numId w:val="7"/>
        </w:numPr>
        <w:ind w:firstLine="640" w:firstLineChars="20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具有良好的商业信誉和健全的财务会计制度; </w:t>
      </w:r>
    </w:p>
    <w:p>
      <w:pPr>
        <w:ind w:firstLine="640" w:firstLineChars="20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3、具有销售此产品的资质、营业执照等相关证件; </w:t>
      </w:r>
    </w:p>
    <w:p>
      <w:pPr>
        <w:ind w:firstLine="640" w:firstLineChars="20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4、有依法缴纳税收和社会保障资金的良好记录; </w:t>
      </w:r>
    </w:p>
    <w:p>
      <w:pPr>
        <w:ind w:firstLine="640" w:firstLineChars="200"/>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5、参加本次采购活动前，在经营活动中没有重大违法记录; </w:t>
      </w:r>
    </w:p>
    <w:p>
      <w:pPr>
        <w:ind w:firstLine="640" w:firstLineChars="200"/>
        <w:rPr>
          <w:rFonts w:hint="eastAsia" w:ascii="仿宋_GB2312" w:eastAsia="仿宋"/>
          <w:sz w:val="32"/>
          <w:szCs w:val="32"/>
        </w:rPr>
      </w:pPr>
      <w:r>
        <w:rPr>
          <w:rFonts w:hint="eastAsia" w:ascii="仿宋_GB2312" w:hAnsi="Courier New" w:eastAsia="仿宋_GB2312" w:cs="Times New Roman"/>
          <w:kern w:val="0"/>
          <w:sz w:val="32"/>
          <w:szCs w:val="32"/>
        </w:rPr>
        <w:t>6、法律、行政法规规定的其他条件。</w:t>
      </w:r>
    </w:p>
    <w:p>
      <w:pPr>
        <w:pStyle w:val="3"/>
        <w:rPr>
          <w:rFonts w:hint="eastAsia"/>
          <w:lang w:eastAsia="zh-CN"/>
        </w:rPr>
      </w:pPr>
      <w:bookmarkStart w:id="159" w:name="_Toc11815"/>
      <w:bookmarkStart w:id="160" w:name="_Toc19178_WPSOffice_Level2"/>
      <w:r>
        <w:rPr>
          <w:rFonts w:hint="eastAsia"/>
          <w:lang w:eastAsia="zh-CN"/>
        </w:rPr>
        <w:t>二、文件应包括</w:t>
      </w:r>
      <w:bookmarkEnd w:id="151"/>
      <w:bookmarkEnd w:id="152"/>
      <w:bookmarkEnd w:id="153"/>
      <w:bookmarkEnd w:id="154"/>
      <w:bookmarkEnd w:id="155"/>
      <w:bookmarkEnd w:id="156"/>
      <w:bookmarkEnd w:id="157"/>
      <w:bookmarkEnd w:id="158"/>
      <w:bookmarkEnd w:id="159"/>
      <w:bookmarkEnd w:id="160"/>
    </w:p>
    <w:p>
      <w:pPr>
        <w:pStyle w:val="7"/>
        <w:spacing w:line="360" w:lineRule="auto"/>
        <w:ind w:firstLine="640" w:firstLineChars="200"/>
        <w:rPr>
          <w:rFonts w:hint="eastAsia" w:ascii="仿宋_GB2312" w:eastAsia="仿宋_GB2312"/>
          <w:sz w:val="32"/>
          <w:szCs w:val="32"/>
        </w:rPr>
      </w:pPr>
      <w:bookmarkStart w:id="161" w:name="_Toc20144_WPSOffice_Level1"/>
      <w:bookmarkStart w:id="162" w:name="_Toc497313881"/>
      <w:bookmarkStart w:id="163" w:name="_Toc27122"/>
      <w:bookmarkStart w:id="164" w:name="_Toc126"/>
      <w:bookmarkStart w:id="165" w:name="_Toc22254"/>
      <w:bookmarkStart w:id="166" w:name="_Toc15665"/>
      <w:bookmarkStart w:id="167" w:name="_Toc11921"/>
      <w:bookmarkStart w:id="168" w:name="_Toc28089"/>
      <w:bookmarkStart w:id="169" w:name="_Toc23893"/>
      <w:bookmarkStart w:id="170" w:name="_Toc5005"/>
      <w:bookmarkStart w:id="171" w:name="_Toc9394"/>
      <w:bookmarkStart w:id="172" w:name="_Toc23374"/>
      <w:r>
        <w:rPr>
          <w:rFonts w:hint="eastAsia" w:ascii="仿宋_GB2312" w:eastAsia="仿宋_GB2312"/>
          <w:sz w:val="32"/>
          <w:szCs w:val="32"/>
        </w:rPr>
        <w:t>投标人编制的响应文件应包括但不少于下列内容：</w:t>
      </w:r>
    </w:p>
    <w:p>
      <w:pPr>
        <w:pStyle w:val="7"/>
        <w:spacing w:line="360" w:lineRule="auto"/>
        <w:ind w:firstLine="640" w:firstLineChars="200"/>
        <w:rPr>
          <w:rFonts w:hint="eastAsia" w:ascii="仿宋_GB2312" w:eastAsia="仿宋_GB2312"/>
          <w:sz w:val="32"/>
          <w:szCs w:val="32"/>
        </w:rPr>
      </w:pPr>
      <w:bookmarkStart w:id="173" w:name="_Toc31121"/>
      <w:r>
        <w:rPr>
          <w:rFonts w:hint="eastAsia" w:ascii="仿宋_GB2312" w:eastAsia="仿宋_GB2312"/>
          <w:sz w:val="32"/>
          <w:szCs w:val="32"/>
        </w:rPr>
        <w:t>1、投标承诺书</w:t>
      </w:r>
      <w:bookmarkEnd w:id="173"/>
    </w:p>
    <w:p>
      <w:pPr>
        <w:pStyle w:val="7"/>
        <w:spacing w:line="360" w:lineRule="auto"/>
        <w:ind w:firstLine="640" w:firstLineChars="200"/>
        <w:rPr>
          <w:rFonts w:hint="eastAsia" w:ascii="仿宋_GB2312" w:eastAsia="仿宋_GB2312"/>
          <w:sz w:val="32"/>
          <w:szCs w:val="32"/>
        </w:rPr>
      </w:pPr>
      <w:bookmarkStart w:id="174" w:name="_Toc27468"/>
      <w:r>
        <w:rPr>
          <w:rFonts w:hint="eastAsia" w:ascii="仿宋_GB2312" w:eastAsia="仿宋_GB2312"/>
          <w:sz w:val="32"/>
          <w:szCs w:val="32"/>
        </w:rPr>
        <w:t>2、法定代表人授权委托书</w:t>
      </w:r>
      <w:bookmarkEnd w:id="174"/>
    </w:p>
    <w:p>
      <w:pPr>
        <w:pStyle w:val="7"/>
        <w:spacing w:line="360" w:lineRule="auto"/>
        <w:ind w:firstLine="640" w:firstLineChars="200"/>
        <w:rPr>
          <w:rFonts w:hint="eastAsia" w:ascii="仿宋_GB2312" w:eastAsia="仿宋_GB2312"/>
          <w:sz w:val="32"/>
          <w:szCs w:val="32"/>
        </w:rPr>
      </w:pPr>
      <w:bookmarkStart w:id="175" w:name="_Toc27057"/>
      <w:r>
        <w:rPr>
          <w:rFonts w:hint="eastAsia" w:ascii="仿宋_GB2312" w:eastAsia="仿宋_GB2312"/>
          <w:sz w:val="32"/>
          <w:szCs w:val="32"/>
        </w:rPr>
        <w:t>3、项目分项报价明细表（价格及税费等）</w:t>
      </w:r>
      <w:bookmarkEnd w:id="175"/>
    </w:p>
    <w:p>
      <w:pPr>
        <w:pStyle w:val="7"/>
        <w:spacing w:line="360" w:lineRule="auto"/>
        <w:ind w:firstLine="640" w:firstLineChars="200"/>
        <w:rPr>
          <w:rFonts w:hint="eastAsia" w:ascii="仿宋_GB2312" w:eastAsia="仿宋_GB2312"/>
          <w:sz w:val="32"/>
          <w:szCs w:val="32"/>
        </w:rPr>
      </w:pPr>
      <w:bookmarkStart w:id="176" w:name="_Toc19381"/>
      <w:r>
        <w:rPr>
          <w:rFonts w:hint="eastAsia" w:ascii="仿宋_GB2312" w:eastAsia="仿宋_GB2312"/>
          <w:sz w:val="32"/>
          <w:szCs w:val="32"/>
        </w:rPr>
        <w:t>4、项目技术服务方案及服务承诺</w:t>
      </w:r>
      <w:bookmarkEnd w:id="176"/>
    </w:p>
    <w:p>
      <w:pPr>
        <w:pStyle w:val="7"/>
        <w:spacing w:line="360" w:lineRule="auto"/>
        <w:ind w:firstLine="640" w:firstLineChars="200"/>
        <w:rPr>
          <w:rFonts w:hint="eastAsia" w:ascii="仿宋_GB2312" w:eastAsia="仿宋_GB2312"/>
          <w:sz w:val="32"/>
          <w:szCs w:val="32"/>
        </w:rPr>
      </w:pPr>
      <w:bookmarkStart w:id="177" w:name="_Toc17992"/>
      <w:r>
        <w:rPr>
          <w:rFonts w:hint="eastAsia" w:ascii="仿宋_GB2312" w:eastAsia="仿宋_GB2312"/>
          <w:sz w:val="32"/>
          <w:szCs w:val="32"/>
        </w:rPr>
        <w:t>5、投标人须提供的各类相关证明材料</w:t>
      </w:r>
      <w:bookmarkEnd w:id="177"/>
    </w:p>
    <w:p>
      <w:pPr>
        <w:pStyle w:val="7"/>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（1）投标人资质证明材料（包含三证合一营业执照（副本）复印件）。</w:t>
      </w:r>
    </w:p>
    <w:p>
      <w:pPr>
        <w:pStyle w:val="7"/>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（2）投标人认为需提供的相关证明文件及资料</w:t>
      </w:r>
      <w:r>
        <w:rPr>
          <w:rFonts w:hint="eastAsia" w:ascii="仿宋_GB2312" w:eastAsia="仿宋_GB2312"/>
          <w:sz w:val="32"/>
          <w:szCs w:val="32"/>
          <w:lang w:eastAsia="zh-CN"/>
        </w:rPr>
        <w:t>。</w:t>
      </w:r>
      <w:r>
        <w:rPr>
          <w:rFonts w:hint="eastAsia" w:ascii="仿宋_GB2312" w:eastAsia="仿宋_GB2312"/>
          <w:sz w:val="32"/>
          <w:szCs w:val="32"/>
        </w:rPr>
        <w:t xml:space="preserve"> </w:t>
      </w:r>
    </w:p>
    <w:p>
      <w:pPr>
        <w:pStyle w:val="7"/>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注：以上文件均需装订成册，响应文件需递交正本1份，副本4份，PDF格式电子文档1份(光盘或U盘)；以上资料需签字、盖章的必须由法定代表人或经其授权的代表签字，并加盖公章密封。响应文件在封面必须清楚地标明“正本”或“副本”字样。若副本与正本不符，以正本为准。响应文件及资料无论供应商是否中标均不予退还。</w:t>
      </w:r>
    </w:p>
    <w:p>
      <w:pPr>
        <w:pStyle w:val="3"/>
        <w:spacing w:line="360" w:lineRule="auto"/>
        <w:rPr>
          <w:rFonts w:ascii="黑体" w:hAnsi="仿宋"/>
        </w:rPr>
      </w:pPr>
      <w:bookmarkStart w:id="178" w:name="_Toc425349056"/>
      <w:r>
        <w:rPr>
          <w:rFonts w:hint="eastAsia" w:ascii="黑体" w:hAnsi="仿宋"/>
        </w:rPr>
        <w:t>三、评标与中标</w:t>
      </w:r>
      <w:bookmarkEnd w:id="178"/>
    </w:p>
    <w:p>
      <w:pPr>
        <w:pStyle w:val="7"/>
        <w:spacing w:line="360" w:lineRule="auto"/>
        <w:ind w:firstLine="960" w:firstLineChars="300"/>
        <w:rPr>
          <w:rFonts w:hint="eastAsia" w:ascii="仿宋_GB2312" w:eastAsia="仿宋_GB2312"/>
          <w:sz w:val="32"/>
          <w:szCs w:val="32"/>
          <w:lang w:eastAsia="zh-CN"/>
        </w:rPr>
      </w:pPr>
      <w:r>
        <w:rPr>
          <w:rFonts w:hint="eastAsia" w:ascii="仿宋_GB2312" w:eastAsia="仿宋_GB2312"/>
          <w:sz w:val="32"/>
          <w:szCs w:val="32"/>
          <w:lang w:eastAsia="zh-CN"/>
        </w:rPr>
        <w:t>鄂尔多斯机场采购小组将按照以下基本程序组织磋商：</w:t>
      </w:r>
    </w:p>
    <w:p>
      <w:pPr>
        <w:pStyle w:val="7"/>
        <w:spacing w:line="360" w:lineRule="auto"/>
        <w:ind w:firstLine="960" w:firstLineChars="300"/>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lang w:eastAsia="zh-CN"/>
        </w:rPr>
        <w:t>机场公司规划发展部公布投标人名称，监督人员检查投标文件的密封情况。投标文件密封情况经检查确认无误后，监督人员当众拆封。</w:t>
      </w:r>
    </w:p>
    <w:p>
      <w:pPr>
        <w:pStyle w:val="7"/>
        <w:spacing w:line="360" w:lineRule="auto"/>
        <w:ind w:firstLine="960" w:firstLineChars="300"/>
        <w:rPr>
          <w:rStyle w:val="32"/>
          <w:rFonts w:hint="eastAsia" w:ascii="楷体" w:hAnsi="楷体" w:eastAsia="楷体" w:cs="楷体"/>
          <w:lang w:val="en-US" w:eastAsia="zh-CN"/>
        </w:rPr>
      </w:pPr>
      <w:r>
        <w:rPr>
          <w:rFonts w:hint="eastAsia" w:ascii="仿宋_GB2312" w:eastAsia="仿宋_GB2312"/>
          <w:sz w:val="32"/>
          <w:szCs w:val="32"/>
          <w:lang w:val="en-US" w:eastAsia="zh-CN"/>
        </w:rPr>
        <w:t>(2)</w:t>
      </w:r>
      <w:r>
        <w:rPr>
          <w:rFonts w:hint="eastAsia" w:ascii="仿宋_GB2312" w:eastAsia="仿宋_GB2312"/>
          <w:sz w:val="32"/>
          <w:szCs w:val="32"/>
          <w:lang w:eastAsia="zh-CN"/>
        </w:rPr>
        <w:t xml:space="preserve">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7"/>
        <w:spacing w:line="360" w:lineRule="auto"/>
        <w:ind w:firstLine="960" w:firstLineChars="300"/>
        <w:rPr>
          <w:rFonts w:hint="eastAsia" w:ascii="仿宋_GB2312" w:eastAsia="仿宋_GB2312"/>
          <w:sz w:val="32"/>
          <w:szCs w:val="32"/>
          <w:lang w:val="en-US" w:eastAsia="zh-CN"/>
        </w:rPr>
      </w:pPr>
      <w:r>
        <w:rPr>
          <w:rFonts w:hint="eastAsia" w:ascii="仿宋_GB2312" w:eastAsia="仿宋_GB2312"/>
          <w:sz w:val="32"/>
          <w:szCs w:val="32"/>
          <w:lang w:val="en-US" w:eastAsia="zh-CN"/>
        </w:rPr>
        <w:t>(3)报价</w:t>
      </w:r>
    </w:p>
    <w:p>
      <w:pPr>
        <w:pStyle w:val="7"/>
        <w:spacing w:line="360" w:lineRule="auto"/>
        <w:ind w:firstLine="960" w:firstLineChars="300"/>
        <w:rPr>
          <w:rFonts w:hint="eastAsia" w:ascii="仿宋_GB2312" w:eastAsia="仿宋_GB2312"/>
          <w:sz w:val="32"/>
          <w:szCs w:val="32"/>
          <w:lang w:eastAsia="zh-CN"/>
        </w:rPr>
      </w:pPr>
      <w:r>
        <w:rPr>
          <w:rFonts w:hint="eastAsia" w:ascii="仿宋_GB2312" w:eastAsia="仿宋_GB2312"/>
          <w:sz w:val="32"/>
          <w:szCs w:val="32"/>
          <w:lang w:val="en-US" w:eastAsia="zh-CN"/>
        </w:rPr>
        <w:t>磋商小组对响应文件响应情况、报价比例、企业资质与业绩、执行能力等方面进行全面比较与评价，了解和掌握各实质性响应供应商的响应程度，</w:t>
      </w:r>
      <w:r>
        <w:rPr>
          <w:rFonts w:hint="eastAsia" w:ascii="仿宋_GB2312" w:eastAsia="仿宋_GB2312"/>
          <w:sz w:val="32"/>
          <w:szCs w:val="32"/>
          <w:lang w:eastAsia="zh-CN"/>
        </w:rPr>
        <w:t>进行项目磋商准备。</w:t>
      </w:r>
    </w:p>
    <w:p>
      <w:pPr>
        <w:pStyle w:val="7"/>
        <w:spacing w:line="360" w:lineRule="auto"/>
        <w:ind w:firstLine="960" w:firstLineChars="300"/>
        <w:rPr>
          <w:rFonts w:hint="eastAsia" w:ascii="仿宋_GB2312" w:eastAsia="仿宋_GB2312"/>
          <w:sz w:val="32"/>
          <w:szCs w:val="32"/>
          <w:lang w:eastAsia="zh-CN"/>
        </w:rPr>
      </w:pPr>
      <w:r>
        <w:rPr>
          <w:rFonts w:hint="eastAsia" w:ascii="仿宋_GB2312" w:eastAsia="仿宋_GB2312"/>
          <w:sz w:val="32"/>
          <w:szCs w:val="32"/>
          <w:lang w:eastAsia="zh-CN"/>
        </w:rPr>
        <w:t>供应商通过抽签的方法确定参加磋商供应商的磋商顺序，所有磋商小组成员集体与每位供应商分别进行单独磋商，磋商轮次由小组成员视情况而定。</w:t>
      </w:r>
    </w:p>
    <w:p>
      <w:pPr>
        <w:pStyle w:val="7"/>
        <w:spacing w:line="360" w:lineRule="auto"/>
        <w:ind w:firstLine="960" w:firstLineChars="300"/>
        <w:rPr>
          <w:rFonts w:hint="eastAsia" w:ascii="仿宋_GB2312" w:eastAsia="仿宋_GB2312"/>
          <w:sz w:val="32"/>
          <w:szCs w:val="32"/>
          <w:lang w:val="en-US" w:eastAsia="zh-CN"/>
        </w:rPr>
      </w:pPr>
      <w:r>
        <w:rPr>
          <w:rFonts w:hint="eastAsia" w:ascii="仿宋_GB2312" w:eastAsia="仿宋_GB2312"/>
          <w:sz w:val="32"/>
          <w:szCs w:val="32"/>
          <w:lang w:val="en-US" w:eastAsia="zh-CN"/>
        </w:rPr>
        <w:t>(4) 评标原则</w:t>
      </w:r>
    </w:p>
    <w:p>
      <w:pPr>
        <w:adjustRightInd w:val="0"/>
        <w:snapToGrid w:val="0"/>
        <w:spacing w:line="360" w:lineRule="auto"/>
        <w:ind w:right="-10" w:firstLine="640" w:firstLineChars="200"/>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本项目</w:t>
      </w:r>
      <w:r>
        <w:rPr>
          <w:rFonts w:ascii="仿宋_GB2312" w:eastAsia="仿宋_GB2312"/>
          <w:color w:val="000000" w:themeColor="text1"/>
          <w:sz w:val="32"/>
          <w:szCs w:val="32"/>
          <w:highlight w:val="none"/>
          <w14:textFill>
            <w14:solidFill>
              <w14:schemeClr w14:val="tx1"/>
            </w14:solidFill>
          </w14:textFill>
        </w:rPr>
        <w:t>采用</w:t>
      </w:r>
      <w:r>
        <w:rPr>
          <w:rFonts w:hint="eastAsia" w:ascii="仿宋_GB2312" w:eastAsia="仿宋_GB2312"/>
          <w:color w:val="000000" w:themeColor="text1"/>
          <w:sz w:val="32"/>
          <w:szCs w:val="32"/>
          <w:highlight w:val="none"/>
          <w14:textFill>
            <w14:solidFill>
              <w14:schemeClr w14:val="tx1"/>
            </w14:solidFill>
          </w14:textFill>
        </w:rPr>
        <w:t>综合评标法进行</w:t>
      </w:r>
      <w:r>
        <w:rPr>
          <w:rFonts w:ascii="仿宋_GB2312" w:eastAsia="仿宋_GB2312"/>
          <w:color w:val="000000" w:themeColor="text1"/>
          <w:sz w:val="32"/>
          <w:szCs w:val="32"/>
          <w:highlight w:val="none"/>
          <w14:textFill>
            <w14:solidFill>
              <w14:schemeClr w14:val="tx1"/>
            </w14:solidFill>
          </w14:textFill>
        </w:rPr>
        <w:t>评标，即在最大限度地满足</w:t>
      </w:r>
      <w:r>
        <w:rPr>
          <w:rFonts w:hint="eastAsia" w:ascii="仿宋_GB2312" w:eastAsia="仿宋_GB2312"/>
          <w:color w:val="000000" w:themeColor="text1"/>
          <w:sz w:val="32"/>
          <w:szCs w:val="32"/>
          <w:highlight w:val="none"/>
          <w14:textFill>
            <w14:solidFill>
              <w14:schemeClr w14:val="tx1"/>
            </w14:solidFill>
          </w14:textFill>
        </w:rPr>
        <w:t>采购</w:t>
      </w:r>
      <w:r>
        <w:rPr>
          <w:rFonts w:ascii="仿宋_GB2312" w:eastAsia="仿宋_GB2312"/>
          <w:color w:val="000000" w:themeColor="text1"/>
          <w:sz w:val="32"/>
          <w:szCs w:val="32"/>
          <w:highlight w:val="none"/>
          <w14:textFill>
            <w14:solidFill>
              <w14:schemeClr w14:val="tx1"/>
            </w14:solidFill>
          </w14:textFill>
        </w:rPr>
        <w:t>文件实质性要求前提下</w:t>
      </w:r>
      <w:r>
        <w:rPr>
          <w:rFonts w:hint="eastAsia" w:ascii="仿宋_GB2312" w:eastAsia="仿宋_GB2312"/>
          <w:color w:val="000000" w:themeColor="text1"/>
          <w:sz w:val="32"/>
          <w:szCs w:val="32"/>
          <w:highlight w:val="none"/>
          <w14:textFill>
            <w14:solidFill>
              <w14:schemeClr w14:val="tx1"/>
            </w14:solidFill>
          </w14:textFill>
        </w:rPr>
        <w:t>，磋商小组综合投标人的业绩、承诺、质保、工期</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报价</w:t>
      </w:r>
      <w:r>
        <w:rPr>
          <w:rFonts w:hint="eastAsia" w:ascii="仿宋_GB2312" w:eastAsia="仿宋_GB2312"/>
          <w:color w:val="000000" w:themeColor="text1"/>
          <w:sz w:val="32"/>
          <w:szCs w:val="32"/>
          <w:highlight w:val="none"/>
          <w:lang w:eastAsia="zh-CN"/>
          <w14:textFill>
            <w14:solidFill>
              <w14:schemeClr w14:val="tx1"/>
            </w14:solidFill>
          </w14:textFill>
        </w:rPr>
        <w:t>及售后服务</w:t>
      </w:r>
      <w:r>
        <w:rPr>
          <w:rFonts w:hint="eastAsia" w:ascii="仿宋_GB2312" w:eastAsia="仿宋_GB2312"/>
          <w:color w:val="000000" w:themeColor="text1"/>
          <w:sz w:val="32"/>
          <w:szCs w:val="32"/>
          <w:highlight w:val="none"/>
          <w14:textFill>
            <w14:solidFill>
              <w14:schemeClr w14:val="tx1"/>
            </w14:solidFill>
          </w14:textFill>
        </w:rPr>
        <w:t>等，</w:t>
      </w:r>
      <w:r>
        <w:rPr>
          <w:rFonts w:ascii="仿宋_GB2312" w:eastAsia="仿宋_GB2312"/>
          <w:color w:val="000000" w:themeColor="text1"/>
          <w:sz w:val="32"/>
          <w:szCs w:val="32"/>
          <w:highlight w:val="none"/>
          <w14:textFill>
            <w14:solidFill>
              <w14:schemeClr w14:val="tx1"/>
            </w14:solidFill>
          </w14:textFill>
        </w:rPr>
        <w:t>按照</w:t>
      </w:r>
      <w:r>
        <w:rPr>
          <w:rFonts w:hint="eastAsia" w:ascii="仿宋_GB2312" w:eastAsia="仿宋_GB2312"/>
          <w:color w:val="000000" w:themeColor="text1"/>
          <w:sz w:val="32"/>
          <w:szCs w:val="32"/>
          <w:highlight w:val="none"/>
          <w14:textFill>
            <w14:solidFill>
              <w14:schemeClr w14:val="tx1"/>
            </w14:solidFill>
          </w14:textFill>
        </w:rPr>
        <w:t>实质性响应供应商的最终报价由低到高排列供应商顺序，报价相同时，服务优者优先；服务和报价均相同时，售后服务好的优先，磋商小组将按排列顺序推荐成交候选供应商。</w:t>
      </w:r>
    </w:p>
    <w:p>
      <w:pPr>
        <w:pStyle w:val="7"/>
        <w:spacing w:line="360" w:lineRule="auto"/>
        <w:ind w:firstLine="960" w:firstLineChars="300"/>
        <w:rPr>
          <w:rFonts w:hint="eastAsia" w:ascii="仿宋_GB2312" w:eastAsia="仿宋_GB2312"/>
          <w:sz w:val="32"/>
          <w:szCs w:val="32"/>
          <w:lang w:val="en-US" w:eastAsia="zh-CN"/>
        </w:rPr>
      </w:pPr>
      <w:r>
        <w:rPr>
          <w:rFonts w:hint="eastAsia" w:ascii="仿宋_GB2312" w:eastAsia="仿宋_GB2312"/>
          <w:sz w:val="32"/>
          <w:szCs w:val="32"/>
          <w:lang w:val="en-US" w:eastAsia="zh-CN"/>
        </w:rPr>
        <w:t>（5）确定成交供应商</w:t>
      </w:r>
    </w:p>
    <w:p>
      <w:pPr>
        <w:pStyle w:val="7"/>
        <w:spacing w:line="360" w:lineRule="auto"/>
        <w:ind w:firstLine="960" w:firstLineChars="300"/>
        <w:rPr>
          <w:rFonts w:hint="eastAsia" w:ascii="仿宋_GB2312" w:eastAsia="仿宋_GB2312"/>
          <w:sz w:val="32"/>
          <w:szCs w:val="32"/>
          <w:lang w:eastAsia="zh-CN"/>
        </w:rPr>
      </w:pPr>
      <w:r>
        <w:rPr>
          <w:rFonts w:hint="eastAsia" w:ascii="仿宋_GB2312" w:eastAsia="仿宋_GB2312"/>
          <w:sz w:val="32"/>
          <w:szCs w:val="32"/>
          <w:lang w:eastAsia="zh-CN"/>
        </w:rPr>
        <w:t>若各供应商最终报价均超过了项目采购预算，采购人不能支付的，磋商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7"/>
        <w:spacing w:line="360" w:lineRule="auto"/>
        <w:ind w:firstLine="960" w:firstLineChars="300"/>
        <w:rPr>
          <w:rFonts w:hint="eastAsia" w:ascii="仿宋_GB2312" w:eastAsia="仿宋_GB2312"/>
          <w:sz w:val="32"/>
          <w:szCs w:val="32"/>
          <w:lang w:eastAsia="zh-CN"/>
        </w:rPr>
      </w:pPr>
      <w:r>
        <w:rPr>
          <w:rFonts w:hint="eastAsia" w:ascii="仿宋_GB2312" w:eastAsia="仿宋_GB2312"/>
          <w:sz w:val="32"/>
          <w:szCs w:val="32"/>
          <w:lang w:eastAsia="zh-CN"/>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7"/>
        <w:spacing w:line="360" w:lineRule="auto"/>
        <w:ind w:firstLine="960" w:firstLineChars="300"/>
        <w:rPr>
          <w:rFonts w:hint="eastAsia" w:ascii="仿宋_GB2312" w:eastAsia="仿宋_GB2312"/>
          <w:sz w:val="32"/>
          <w:szCs w:val="32"/>
          <w:lang w:eastAsia="zh-CN"/>
        </w:rPr>
      </w:pPr>
      <w:r>
        <w:rPr>
          <w:rFonts w:hint="eastAsia" w:ascii="仿宋_GB2312" w:eastAsia="仿宋_GB2312"/>
          <w:sz w:val="32"/>
          <w:szCs w:val="32"/>
          <w:lang w:eastAsia="zh-CN"/>
        </w:rPr>
        <w:t>项目中标结果将于2-4个工作日后在集团公司网站上进行公布，供应商可自行登陆查询，不再另行通知。</w:t>
      </w:r>
    </w:p>
    <w:p>
      <w:pPr>
        <w:pStyle w:val="2"/>
        <w:jc w:val="center"/>
        <w:rPr>
          <w:rStyle w:val="28"/>
          <w:rFonts w:hint="eastAsia" w:cs="Calibri"/>
          <w:bCs/>
          <w:lang w:val="en-US" w:eastAsia="zh-CN"/>
        </w:rPr>
      </w:pPr>
      <w:r>
        <w:rPr>
          <w:rStyle w:val="28"/>
          <w:rFonts w:hint="eastAsia" w:cs="Calibri"/>
          <w:bCs/>
          <w:lang w:val="en-US" w:eastAsia="zh-CN"/>
        </w:rPr>
        <w:br w:type="page"/>
      </w:r>
      <w:r>
        <w:rPr>
          <w:rStyle w:val="28"/>
          <w:rFonts w:hint="eastAsia" w:cs="Calibri"/>
          <w:bCs/>
          <w:lang w:val="en-US" w:eastAsia="zh-CN"/>
        </w:rPr>
        <w:t>第四章 响应文件格式与要求</w:t>
      </w:r>
      <w:bookmarkEnd w:id="161"/>
      <w:bookmarkEnd w:id="162"/>
      <w:bookmarkEnd w:id="163"/>
      <w:bookmarkEnd w:id="164"/>
      <w:bookmarkEnd w:id="165"/>
      <w:bookmarkEnd w:id="166"/>
      <w:bookmarkEnd w:id="167"/>
      <w:bookmarkEnd w:id="168"/>
      <w:bookmarkEnd w:id="169"/>
      <w:bookmarkEnd w:id="170"/>
      <w:bookmarkEnd w:id="171"/>
      <w:bookmarkEnd w:id="172"/>
    </w:p>
    <w:p>
      <w:pPr>
        <w:pStyle w:val="3"/>
        <w:rPr>
          <w:rFonts w:hint="eastAsia"/>
          <w:lang w:eastAsia="zh-CN"/>
        </w:rPr>
      </w:pPr>
      <w:bookmarkStart w:id="179" w:name="_Toc26107"/>
      <w:bookmarkStart w:id="180" w:name="_Toc497313882"/>
      <w:r>
        <w:rPr>
          <w:rFonts w:hint="eastAsia"/>
          <w:lang w:eastAsia="zh-CN"/>
        </w:rPr>
        <w:t>格式一：</w:t>
      </w:r>
      <w:bookmarkEnd w:id="179"/>
      <w:bookmarkEnd w:id="180"/>
    </w:p>
    <w:p>
      <w:pPr>
        <w:jc w:val="center"/>
        <w:rPr>
          <w:rFonts w:hint="eastAsia" w:ascii="仿宋_GB2312" w:hAnsi="Courier New" w:eastAsia="仿宋_GB2312" w:cs="Times New Roman"/>
          <w:kern w:val="0"/>
          <w:sz w:val="44"/>
          <w:szCs w:val="44"/>
        </w:rPr>
      </w:pPr>
      <w:bookmarkStart w:id="181" w:name="_Toc18228"/>
      <w:bookmarkStart w:id="182" w:name="_Toc13217"/>
      <w:bookmarkStart w:id="183" w:name="_Toc1564"/>
      <w:bookmarkStart w:id="184" w:name="_Toc14858"/>
      <w:bookmarkStart w:id="185" w:name="_Toc20981"/>
      <w:bookmarkStart w:id="186" w:name="_Toc27579"/>
      <w:bookmarkStart w:id="187" w:name="_Toc17746"/>
      <w:bookmarkStart w:id="188" w:name="_Toc8203"/>
      <w:bookmarkStart w:id="189" w:name="_Toc10422"/>
      <w:bookmarkStart w:id="190" w:name="_Toc13624_WPSOffice_Level1"/>
      <w:r>
        <w:rPr>
          <w:rFonts w:hint="eastAsia" w:ascii="仿宋_GB2312" w:hAnsi="Courier New" w:eastAsia="仿宋_GB2312" w:cs="Times New Roman"/>
          <w:kern w:val="0"/>
          <w:sz w:val="44"/>
          <w:szCs w:val="44"/>
        </w:rPr>
        <w:t>（相应文件封面）</w:t>
      </w:r>
      <w:bookmarkEnd w:id="181"/>
      <w:bookmarkEnd w:id="182"/>
      <w:bookmarkEnd w:id="183"/>
      <w:bookmarkEnd w:id="184"/>
      <w:bookmarkEnd w:id="185"/>
      <w:bookmarkEnd w:id="186"/>
      <w:bookmarkEnd w:id="187"/>
      <w:bookmarkEnd w:id="188"/>
      <w:bookmarkEnd w:id="189"/>
      <w:bookmarkEnd w:id="190"/>
    </w:p>
    <w:p>
      <w:pPr>
        <w:jc w:val="center"/>
        <w:rPr>
          <w:rFonts w:hint="eastAsia" w:ascii="仿宋_GB2312" w:hAnsi="Courier New" w:eastAsia="仿宋_GB2312" w:cs="Times New Roman"/>
          <w:kern w:val="0"/>
          <w:sz w:val="44"/>
          <w:szCs w:val="44"/>
        </w:rPr>
      </w:pPr>
      <w:bookmarkStart w:id="191" w:name="_Toc17573"/>
      <w:bookmarkStart w:id="192" w:name="_Toc13779"/>
      <w:bookmarkStart w:id="193" w:name="_Toc20953"/>
      <w:bookmarkStart w:id="194" w:name="_Toc9271"/>
      <w:bookmarkStart w:id="195" w:name="_Toc21690"/>
      <w:bookmarkStart w:id="196" w:name="_Toc347"/>
      <w:bookmarkStart w:id="197" w:name="_Toc7961"/>
      <w:bookmarkStart w:id="198" w:name="_Toc30566"/>
      <w:bookmarkStart w:id="199" w:name="_Toc27873"/>
      <w:bookmarkStart w:id="200" w:name="_Toc29847_WPSOffice_Level1"/>
      <w:r>
        <w:rPr>
          <w:rFonts w:hint="eastAsia" w:ascii="仿宋_GB2312" w:hAnsi="Courier New" w:eastAsia="仿宋_GB2312" w:cs="Times New Roman"/>
          <w:kern w:val="0"/>
          <w:sz w:val="44"/>
          <w:szCs w:val="44"/>
        </w:rPr>
        <w:t>竞争性磋商响应文件</w:t>
      </w:r>
      <w:bookmarkEnd w:id="191"/>
      <w:bookmarkEnd w:id="192"/>
      <w:bookmarkEnd w:id="193"/>
      <w:bookmarkEnd w:id="194"/>
      <w:bookmarkEnd w:id="195"/>
      <w:bookmarkEnd w:id="196"/>
      <w:bookmarkEnd w:id="197"/>
      <w:bookmarkEnd w:id="198"/>
      <w:bookmarkEnd w:id="199"/>
      <w:bookmarkEnd w:id="200"/>
    </w:p>
    <w:p>
      <w:pPr>
        <w:jc w:val="center"/>
        <w:rPr>
          <w:rFonts w:hint="eastAsia" w:ascii="仿宋_GB2312" w:hAnsi="Courier New" w:eastAsia="仿宋_GB2312" w:cs="Times New Roman"/>
          <w:kern w:val="0"/>
          <w:sz w:val="44"/>
          <w:szCs w:val="44"/>
        </w:rPr>
      </w:pPr>
      <w:bookmarkStart w:id="201" w:name="_Toc15680"/>
      <w:bookmarkStart w:id="202" w:name="_Toc21583"/>
      <w:bookmarkStart w:id="203" w:name="_Toc11417"/>
      <w:bookmarkStart w:id="204" w:name="_Toc23735"/>
      <w:bookmarkStart w:id="205" w:name="_Toc29802"/>
      <w:bookmarkStart w:id="206" w:name="_Toc25971"/>
      <w:bookmarkStart w:id="207" w:name="_Toc12014"/>
      <w:bookmarkStart w:id="208" w:name="_Toc29645"/>
      <w:bookmarkStart w:id="209" w:name="_Toc9704"/>
      <w:bookmarkStart w:id="210" w:name="_Toc9088_WPSOffice_Level1"/>
      <w:r>
        <w:rPr>
          <w:rFonts w:hint="eastAsia" w:ascii="仿宋_GB2312" w:hAnsi="Courier New" w:eastAsia="仿宋_GB2312" w:cs="Times New Roman"/>
          <w:kern w:val="0"/>
          <w:sz w:val="44"/>
          <w:szCs w:val="44"/>
        </w:rPr>
        <w:t>（正本/副本）</w:t>
      </w:r>
      <w:bookmarkEnd w:id="201"/>
      <w:bookmarkEnd w:id="202"/>
      <w:bookmarkEnd w:id="203"/>
      <w:bookmarkEnd w:id="204"/>
      <w:bookmarkEnd w:id="205"/>
      <w:bookmarkEnd w:id="206"/>
      <w:bookmarkEnd w:id="207"/>
      <w:bookmarkEnd w:id="208"/>
      <w:bookmarkEnd w:id="209"/>
      <w:bookmarkEnd w:id="210"/>
    </w:p>
    <w:p>
      <w:pPr>
        <w:jc w:val="center"/>
        <w:rPr>
          <w:rFonts w:hint="eastAsia" w:ascii="仿宋_GB2312" w:hAnsi="Courier New" w:eastAsia="仿宋_GB2312" w:cs="Times New Roman"/>
          <w:kern w:val="0"/>
          <w:sz w:val="44"/>
          <w:szCs w:val="44"/>
        </w:rPr>
      </w:pPr>
      <w:bookmarkStart w:id="211" w:name="_Toc4013"/>
      <w:bookmarkStart w:id="212" w:name="_Toc32705"/>
      <w:bookmarkStart w:id="213" w:name="_Toc3618"/>
      <w:bookmarkStart w:id="214" w:name="_Toc18385"/>
      <w:bookmarkStart w:id="215" w:name="_Toc14861"/>
      <w:bookmarkStart w:id="216" w:name="_Toc21495"/>
      <w:bookmarkStart w:id="217" w:name="_Toc10405"/>
      <w:bookmarkStart w:id="218" w:name="_Toc6946"/>
      <w:bookmarkStart w:id="219" w:name="_Toc2606"/>
      <w:bookmarkStart w:id="220" w:name="_Toc15845_WPSOffice_Level1"/>
      <w:r>
        <w:rPr>
          <w:rFonts w:hint="eastAsia" w:ascii="仿宋_GB2312" w:hAnsi="Courier New" w:eastAsia="仿宋_GB2312" w:cs="Times New Roman"/>
          <w:kern w:val="0"/>
          <w:sz w:val="44"/>
          <w:szCs w:val="44"/>
        </w:rPr>
        <w:t>项目名称：</w:t>
      </w:r>
      <w:bookmarkEnd w:id="211"/>
      <w:bookmarkEnd w:id="212"/>
      <w:bookmarkEnd w:id="213"/>
      <w:bookmarkEnd w:id="214"/>
      <w:bookmarkEnd w:id="215"/>
      <w:bookmarkEnd w:id="216"/>
      <w:bookmarkEnd w:id="217"/>
      <w:bookmarkEnd w:id="218"/>
      <w:bookmarkEnd w:id="219"/>
      <w:bookmarkEnd w:id="220"/>
    </w:p>
    <w:p>
      <w:pPr>
        <w:jc w:val="center"/>
        <w:rPr>
          <w:rFonts w:hint="eastAsia" w:ascii="仿宋_GB2312" w:hAnsi="Courier New" w:eastAsia="仿宋_GB2312" w:cs="Times New Roman"/>
          <w:kern w:val="0"/>
          <w:sz w:val="44"/>
          <w:szCs w:val="44"/>
        </w:rPr>
      </w:pPr>
      <w:bookmarkStart w:id="221" w:name="_Toc26140"/>
      <w:bookmarkStart w:id="222" w:name="_Toc22250"/>
      <w:bookmarkStart w:id="223" w:name="_Toc20760"/>
      <w:bookmarkStart w:id="224" w:name="_Toc20082"/>
      <w:bookmarkStart w:id="225" w:name="_Toc25855"/>
      <w:bookmarkStart w:id="226" w:name="_Toc23286"/>
      <w:bookmarkStart w:id="227" w:name="_Toc32202"/>
      <w:bookmarkStart w:id="228" w:name="_Toc9148"/>
      <w:bookmarkStart w:id="229" w:name="_Toc3964"/>
      <w:bookmarkStart w:id="230" w:name="_Toc28363_WPSOffice_Level1"/>
      <w:r>
        <w:rPr>
          <w:rFonts w:hint="eastAsia" w:ascii="仿宋_GB2312" w:hAnsi="Courier New" w:eastAsia="仿宋_GB2312" w:cs="Times New Roman"/>
          <w:kern w:val="0"/>
          <w:sz w:val="44"/>
          <w:szCs w:val="44"/>
        </w:rPr>
        <w:t>项目编号：</w:t>
      </w:r>
      <w:bookmarkEnd w:id="221"/>
      <w:bookmarkEnd w:id="222"/>
      <w:bookmarkEnd w:id="223"/>
      <w:bookmarkEnd w:id="224"/>
      <w:bookmarkEnd w:id="225"/>
      <w:bookmarkEnd w:id="226"/>
      <w:bookmarkEnd w:id="227"/>
      <w:bookmarkEnd w:id="228"/>
      <w:bookmarkEnd w:id="229"/>
      <w:bookmarkEnd w:id="230"/>
    </w:p>
    <w:p>
      <w:pPr>
        <w:jc w:val="center"/>
        <w:rPr>
          <w:rFonts w:hint="eastAsia" w:ascii="仿宋_GB2312" w:hAnsi="Courier New" w:eastAsia="仿宋_GB2312" w:cs="Times New Roman"/>
          <w:kern w:val="0"/>
          <w:sz w:val="44"/>
          <w:szCs w:val="44"/>
        </w:rPr>
      </w:pPr>
    </w:p>
    <w:p>
      <w:pPr>
        <w:jc w:val="center"/>
        <w:rPr>
          <w:rFonts w:hint="eastAsia" w:ascii="仿宋_GB2312" w:hAnsi="Courier New" w:eastAsia="仿宋_GB2312" w:cs="Times New Roman"/>
          <w:kern w:val="0"/>
          <w:sz w:val="44"/>
          <w:szCs w:val="44"/>
        </w:rPr>
      </w:pPr>
    </w:p>
    <w:p>
      <w:pPr>
        <w:jc w:val="center"/>
        <w:rPr>
          <w:rFonts w:hint="eastAsia" w:ascii="仿宋_GB2312" w:hAnsi="Courier New" w:eastAsia="仿宋_GB2312" w:cs="Times New Roman"/>
          <w:kern w:val="0"/>
          <w:sz w:val="44"/>
          <w:szCs w:val="44"/>
        </w:rPr>
      </w:pPr>
    </w:p>
    <w:p>
      <w:pPr>
        <w:jc w:val="center"/>
        <w:rPr>
          <w:rFonts w:hint="eastAsia" w:ascii="仿宋_GB2312" w:hAnsi="Courier New" w:eastAsia="仿宋_GB2312" w:cs="Times New Roman"/>
          <w:kern w:val="0"/>
          <w:sz w:val="44"/>
          <w:szCs w:val="44"/>
        </w:rPr>
      </w:pPr>
    </w:p>
    <w:p>
      <w:pPr>
        <w:jc w:val="center"/>
        <w:rPr>
          <w:rFonts w:hint="eastAsia" w:ascii="仿宋_GB2312" w:hAnsi="Courier New" w:eastAsia="仿宋_GB2312" w:cs="Times New Roman"/>
          <w:kern w:val="0"/>
          <w:sz w:val="44"/>
          <w:szCs w:val="44"/>
        </w:rPr>
      </w:pPr>
      <w:bookmarkStart w:id="231" w:name="_Toc12892"/>
      <w:bookmarkStart w:id="232" w:name="_Toc14946"/>
      <w:bookmarkStart w:id="233" w:name="_Toc23219"/>
      <w:bookmarkStart w:id="234" w:name="_Toc18927"/>
      <w:bookmarkStart w:id="235" w:name="_Toc29383"/>
      <w:bookmarkStart w:id="236" w:name="_Toc9604"/>
      <w:bookmarkStart w:id="237" w:name="_Toc15784"/>
      <w:bookmarkStart w:id="238" w:name="_Toc20879"/>
      <w:bookmarkStart w:id="239" w:name="_Toc2208"/>
      <w:bookmarkStart w:id="240" w:name="_Toc15244_WPSOffice_Level1"/>
      <w:r>
        <w:rPr>
          <w:rFonts w:hint="eastAsia" w:ascii="仿宋_GB2312" w:hAnsi="Courier New" w:eastAsia="仿宋_GB2312" w:cs="Times New Roman"/>
          <w:kern w:val="0"/>
          <w:sz w:val="44"/>
          <w:szCs w:val="44"/>
        </w:rPr>
        <w:t>竞标人名称</w:t>
      </w:r>
      <w:bookmarkEnd w:id="231"/>
      <w:bookmarkEnd w:id="232"/>
      <w:bookmarkEnd w:id="233"/>
      <w:bookmarkEnd w:id="234"/>
      <w:bookmarkEnd w:id="235"/>
      <w:bookmarkEnd w:id="236"/>
      <w:bookmarkEnd w:id="237"/>
      <w:bookmarkEnd w:id="238"/>
      <w:bookmarkEnd w:id="239"/>
      <w:bookmarkEnd w:id="240"/>
    </w:p>
    <w:p>
      <w:pPr>
        <w:jc w:val="center"/>
        <w:rPr>
          <w:rFonts w:hint="eastAsia" w:ascii="仿宋_GB2312" w:hAnsi="Courier New" w:eastAsia="仿宋_GB2312" w:cs="Times New Roman"/>
          <w:kern w:val="0"/>
          <w:sz w:val="44"/>
          <w:szCs w:val="44"/>
        </w:rPr>
      </w:pPr>
    </w:p>
    <w:p>
      <w:pPr>
        <w:jc w:val="center"/>
        <w:rPr>
          <w:rFonts w:hint="eastAsia" w:ascii="仿宋_GB2312" w:hAnsi="Courier New" w:eastAsia="仿宋_GB2312" w:cs="Times New Roman"/>
          <w:kern w:val="0"/>
          <w:sz w:val="44"/>
          <w:szCs w:val="44"/>
        </w:rPr>
      </w:pPr>
      <w:bookmarkStart w:id="241" w:name="_Toc26337"/>
      <w:bookmarkStart w:id="242" w:name="_Toc22493_WPSOffice_Level1"/>
      <w:bookmarkStart w:id="243" w:name="_Toc25534"/>
      <w:bookmarkStart w:id="244" w:name="_Toc29924"/>
      <w:bookmarkStart w:id="245" w:name="_Toc13518"/>
      <w:bookmarkStart w:id="246" w:name="_Toc27351"/>
      <w:bookmarkStart w:id="247" w:name="_Toc13259"/>
      <w:bookmarkStart w:id="248" w:name="_Toc22273"/>
      <w:bookmarkStart w:id="249" w:name="_Toc24999"/>
      <w:bookmarkStart w:id="250" w:name="_Toc18138"/>
      <w:r>
        <w:rPr>
          <w:rFonts w:hint="eastAsia" w:ascii="仿宋_GB2312" w:hAnsi="Courier New" w:eastAsia="仿宋_GB2312" w:cs="Times New Roman"/>
          <w:kern w:val="0"/>
          <w:sz w:val="44"/>
          <w:szCs w:val="44"/>
        </w:rPr>
        <w:t>年    月    日</w:t>
      </w:r>
      <w:bookmarkEnd w:id="241"/>
      <w:bookmarkEnd w:id="242"/>
      <w:bookmarkEnd w:id="243"/>
      <w:bookmarkEnd w:id="244"/>
      <w:bookmarkEnd w:id="245"/>
      <w:bookmarkEnd w:id="246"/>
      <w:bookmarkEnd w:id="247"/>
      <w:bookmarkEnd w:id="248"/>
      <w:bookmarkEnd w:id="249"/>
      <w:bookmarkEnd w:id="250"/>
      <w:bookmarkStart w:id="251" w:name="_Toc497313883"/>
      <w:bookmarkStart w:id="252" w:name="_Toc14025"/>
    </w:p>
    <w:p>
      <w:pPr>
        <w:jc w:val="left"/>
        <w:rPr>
          <w:rFonts w:hint="eastAsia" w:ascii="仿宋_GB2312" w:hAnsi="Courier New" w:eastAsia="仿宋_GB2312" w:cs="Times New Roman"/>
          <w:kern w:val="0"/>
          <w:sz w:val="44"/>
          <w:szCs w:val="44"/>
        </w:rPr>
      </w:pPr>
      <w:r>
        <w:rPr>
          <w:rFonts w:hint="eastAsia" w:ascii="仿宋_GB2312" w:hAnsi="Courier New" w:eastAsia="仿宋_GB2312" w:cs="Times New Roman"/>
          <w:kern w:val="0"/>
          <w:sz w:val="44"/>
          <w:szCs w:val="44"/>
        </w:rPr>
        <w:br w:type="page"/>
      </w:r>
      <w:r>
        <w:rPr>
          <w:rFonts w:hint="eastAsia" w:ascii="Cambria" w:hAnsi="Cambria" w:eastAsia="黑体" w:cs="Times New Roman"/>
          <w:bCs/>
          <w:kern w:val="0"/>
          <w:sz w:val="32"/>
          <w:szCs w:val="32"/>
        </w:rPr>
        <w:t>格式二：</w:t>
      </w:r>
      <w:bookmarkEnd w:id="251"/>
      <w:bookmarkEnd w:id="252"/>
    </w:p>
    <w:p>
      <w:pPr>
        <w:jc w:val="center"/>
        <w:rPr>
          <w:rFonts w:hint="eastAsia" w:ascii="仿宋" w:hAnsi="仿宋" w:eastAsia="仿宋"/>
          <w:sz w:val="32"/>
          <w:szCs w:val="32"/>
        </w:rPr>
      </w:pPr>
      <w:bookmarkStart w:id="253" w:name="_Toc13728"/>
      <w:bookmarkStart w:id="254" w:name="_Toc30719"/>
      <w:bookmarkStart w:id="255" w:name="_Toc1597"/>
      <w:bookmarkStart w:id="256" w:name="_Toc501"/>
      <w:bookmarkStart w:id="257" w:name="_Toc5457"/>
      <w:bookmarkStart w:id="258" w:name="_Toc27273"/>
      <w:bookmarkStart w:id="259" w:name="_Toc6351"/>
      <w:bookmarkStart w:id="260" w:name="_Toc10617"/>
      <w:bookmarkStart w:id="261" w:name="_Toc6580"/>
      <w:bookmarkStart w:id="262" w:name="_Toc22619_WPSOffice_Level1"/>
      <w:r>
        <w:rPr>
          <w:rFonts w:hint="eastAsia" w:ascii="仿宋" w:hAnsi="仿宋" w:eastAsia="仿宋"/>
          <w:sz w:val="32"/>
          <w:szCs w:val="32"/>
        </w:rPr>
        <w:t>目录</w:t>
      </w:r>
      <w:bookmarkEnd w:id="253"/>
      <w:bookmarkEnd w:id="254"/>
      <w:bookmarkEnd w:id="255"/>
      <w:bookmarkEnd w:id="256"/>
      <w:bookmarkEnd w:id="257"/>
      <w:bookmarkEnd w:id="258"/>
      <w:bookmarkEnd w:id="259"/>
      <w:bookmarkEnd w:id="260"/>
      <w:bookmarkEnd w:id="261"/>
      <w:bookmarkEnd w:id="262"/>
    </w:p>
    <w:p>
      <w:pPr>
        <w:rPr>
          <w:rFonts w:hint="eastAsia" w:ascii="仿宋" w:hAnsi="仿宋" w:eastAsia="仿宋"/>
          <w:sz w:val="32"/>
          <w:szCs w:val="32"/>
        </w:rPr>
      </w:pPr>
    </w:p>
    <w:p>
      <w:pPr>
        <w:spacing w:line="480" w:lineRule="exact"/>
        <w:jc w:val="center"/>
        <w:rPr>
          <w:rFonts w:hint="eastAsia" w:ascii="仿宋" w:hAnsi="仿宋" w:eastAsia="仿宋"/>
          <w:b/>
          <w:color w:val="000000"/>
          <w:sz w:val="32"/>
          <w:szCs w:val="32"/>
        </w:rPr>
      </w:pPr>
    </w:p>
    <w:p>
      <w:pPr>
        <w:pStyle w:val="7"/>
        <w:spacing w:line="360" w:lineRule="auto"/>
        <w:rPr>
          <w:rFonts w:hint="eastAsia" w:ascii="仿宋_GB2312" w:eastAsia="仿宋_GB2312"/>
          <w:sz w:val="32"/>
          <w:szCs w:val="32"/>
          <w:lang w:val="en-US" w:eastAsia="zh-CN"/>
        </w:rPr>
      </w:pPr>
      <w:bookmarkStart w:id="263" w:name="_Toc32515_WPSOffice_Level1"/>
      <w:bookmarkStart w:id="264" w:name="_Toc4364"/>
      <w:bookmarkStart w:id="265" w:name="_Toc8163"/>
      <w:bookmarkStart w:id="266" w:name="_Toc29755"/>
      <w:bookmarkStart w:id="267" w:name="_Toc6281"/>
      <w:bookmarkStart w:id="268" w:name="_Toc21033"/>
      <w:bookmarkStart w:id="269" w:name="_Toc7770"/>
      <w:bookmarkStart w:id="270" w:name="_Toc9715"/>
      <w:bookmarkStart w:id="271" w:name="_Toc32494"/>
      <w:bookmarkStart w:id="272" w:name="_Toc32052"/>
      <w:r>
        <w:rPr>
          <w:rFonts w:hint="eastAsia" w:ascii="仿宋_GB2312" w:eastAsia="仿宋_GB2312"/>
          <w:sz w:val="32"/>
          <w:szCs w:val="32"/>
          <w:lang w:val="en-US" w:eastAsia="zh-CN"/>
        </w:rPr>
        <w:t>一、投标承书……………………………………………………（ ）</w:t>
      </w:r>
      <w:bookmarkEnd w:id="263"/>
      <w:bookmarkEnd w:id="264"/>
      <w:bookmarkEnd w:id="265"/>
      <w:bookmarkEnd w:id="266"/>
      <w:bookmarkEnd w:id="267"/>
      <w:bookmarkEnd w:id="268"/>
      <w:bookmarkEnd w:id="269"/>
      <w:bookmarkEnd w:id="270"/>
      <w:bookmarkEnd w:id="271"/>
      <w:bookmarkEnd w:id="272"/>
    </w:p>
    <w:p>
      <w:pPr>
        <w:pStyle w:val="7"/>
        <w:spacing w:line="360" w:lineRule="auto"/>
        <w:rPr>
          <w:rFonts w:hint="eastAsia" w:ascii="仿宋_GB2312" w:eastAsia="仿宋_GB2312"/>
          <w:sz w:val="32"/>
          <w:szCs w:val="32"/>
          <w:lang w:val="en-US" w:eastAsia="zh-CN"/>
        </w:rPr>
      </w:pPr>
      <w:bookmarkStart w:id="273" w:name="_Toc19299"/>
      <w:bookmarkStart w:id="274" w:name="_Toc22153"/>
      <w:bookmarkStart w:id="275" w:name="_Toc7264"/>
      <w:bookmarkStart w:id="276" w:name="_Toc22434"/>
      <w:bookmarkStart w:id="277" w:name="_Toc26753"/>
      <w:bookmarkStart w:id="278" w:name="_Toc1973"/>
      <w:bookmarkStart w:id="279" w:name="_Toc6409"/>
      <w:bookmarkStart w:id="280" w:name="_Toc1514"/>
      <w:bookmarkStart w:id="281" w:name="_Toc20935"/>
      <w:bookmarkStart w:id="282" w:name="_Toc22869_WPSOffice_Level1"/>
      <w:r>
        <w:rPr>
          <w:rFonts w:hint="eastAsia" w:ascii="仿宋_GB2312" w:eastAsia="仿宋_GB2312"/>
          <w:sz w:val="32"/>
          <w:szCs w:val="32"/>
          <w:lang w:val="en-US" w:eastAsia="zh-CN"/>
        </w:rPr>
        <w:t>二、法定代表人授权委书………………………………………（ ）</w:t>
      </w:r>
      <w:bookmarkEnd w:id="273"/>
      <w:bookmarkEnd w:id="274"/>
      <w:bookmarkEnd w:id="275"/>
      <w:bookmarkEnd w:id="276"/>
      <w:bookmarkEnd w:id="277"/>
      <w:bookmarkEnd w:id="278"/>
      <w:bookmarkEnd w:id="279"/>
      <w:bookmarkEnd w:id="280"/>
      <w:bookmarkEnd w:id="281"/>
      <w:bookmarkEnd w:id="282"/>
    </w:p>
    <w:p>
      <w:pPr>
        <w:pStyle w:val="7"/>
        <w:spacing w:line="360" w:lineRule="auto"/>
        <w:rPr>
          <w:rFonts w:hint="eastAsia" w:ascii="仿宋_GB2312" w:eastAsia="仿宋_GB2312"/>
          <w:sz w:val="32"/>
          <w:szCs w:val="32"/>
          <w:lang w:val="en-US" w:eastAsia="zh-CN"/>
        </w:rPr>
      </w:pPr>
      <w:bookmarkStart w:id="283" w:name="_Toc31485"/>
      <w:bookmarkStart w:id="284" w:name="_Toc29003"/>
      <w:bookmarkStart w:id="285" w:name="_Toc26648"/>
      <w:bookmarkStart w:id="286" w:name="_Toc12905"/>
      <w:bookmarkStart w:id="287" w:name="_Toc1721"/>
      <w:bookmarkStart w:id="288" w:name="_Toc9183"/>
      <w:bookmarkStart w:id="289" w:name="_Toc1025"/>
      <w:bookmarkStart w:id="290" w:name="_Toc7362"/>
      <w:bookmarkStart w:id="291" w:name="_Toc5640"/>
      <w:bookmarkStart w:id="292" w:name="_Toc19313_WPSOffice_Level1"/>
      <w:r>
        <w:rPr>
          <w:rFonts w:hint="eastAsia" w:ascii="仿宋_GB2312" w:eastAsia="仿宋_GB2312"/>
          <w:sz w:val="32"/>
          <w:szCs w:val="32"/>
          <w:lang w:val="en-US" w:eastAsia="zh-CN"/>
        </w:rPr>
        <w:t>三、项目分项报价明表…………………………………………（ ）</w:t>
      </w:r>
      <w:bookmarkEnd w:id="283"/>
      <w:bookmarkEnd w:id="284"/>
      <w:bookmarkEnd w:id="285"/>
      <w:bookmarkEnd w:id="286"/>
      <w:bookmarkEnd w:id="287"/>
      <w:bookmarkEnd w:id="288"/>
      <w:bookmarkEnd w:id="289"/>
      <w:bookmarkEnd w:id="290"/>
      <w:bookmarkEnd w:id="291"/>
      <w:bookmarkEnd w:id="292"/>
    </w:p>
    <w:p>
      <w:pPr>
        <w:pStyle w:val="7"/>
        <w:spacing w:line="360" w:lineRule="auto"/>
        <w:rPr>
          <w:rFonts w:hint="eastAsia" w:ascii="仿宋_GB2312" w:eastAsia="仿宋_GB2312"/>
          <w:sz w:val="32"/>
          <w:szCs w:val="32"/>
          <w:lang w:val="en-US" w:eastAsia="zh-CN"/>
        </w:rPr>
      </w:pPr>
      <w:bookmarkStart w:id="293" w:name="_Toc17169"/>
      <w:bookmarkStart w:id="294" w:name="_Toc18423"/>
      <w:bookmarkStart w:id="295" w:name="_Toc10468"/>
      <w:bookmarkStart w:id="296" w:name="_Toc14381"/>
      <w:bookmarkStart w:id="297" w:name="_Toc28853"/>
      <w:bookmarkStart w:id="298" w:name="_Toc21190"/>
      <w:bookmarkStart w:id="299" w:name="_Toc31537"/>
      <w:bookmarkStart w:id="300" w:name="_Toc20286"/>
      <w:bookmarkStart w:id="301" w:name="_Toc5121"/>
      <w:bookmarkStart w:id="302" w:name="_Toc28184_WPSOffice_Level1"/>
      <w:r>
        <w:rPr>
          <w:rFonts w:hint="eastAsia" w:ascii="仿宋_GB2312" w:eastAsia="仿宋_GB2312"/>
          <w:sz w:val="32"/>
          <w:szCs w:val="32"/>
          <w:lang w:val="en-US" w:eastAsia="zh-CN"/>
        </w:rPr>
        <w:t>四、近两年同类投标项目或类似项目的业绩证明料…………（ ）</w:t>
      </w:r>
      <w:bookmarkEnd w:id="293"/>
      <w:bookmarkEnd w:id="294"/>
      <w:bookmarkEnd w:id="295"/>
      <w:bookmarkEnd w:id="296"/>
      <w:bookmarkEnd w:id="297"/>
      <w:bookmarkEnd w:id="298"/>
      <w:bookmarkEnd w:id="299"/>
      <w:bookmarkEnd w:id="300"/>
      <w:bookmarkEnd w:id="301"/>
      <w:bookmarkEnd w:id="302"/>
    </w:p>
    <w:p>
      <w:pPr>
        <w:pStyle w:val="7"/>
        <w:spacing w:line="360" w:lineRule="auto"/>
        <w:rPr>
          <w:rFonts w:hint="eastAsia" w:ascii="仿宋_GB2312" w:eastAsia="仿宋_GB2312"/>
          <w:sz w:val="32"/>
          <w:szCs w:val="32"/>
          <w:lang w:val="en-US" w:eastAsia="zh-CN"/>
        </w:rPr>
      </w:pPr>
      <w:bookmarkStart w:id="303" w:name="_Toc24218"/>
      <w:bookmarkStart w:id="304" w:name="_Toc19278"/>
      <w:bookmarkStart w:id="305" w:name="_Toc15765"/>
      <w:bookmarkStart w:id="306" w:name="_Toc7558"/>
      <w:bookmarkStart w:id="307" w:name="_Toc29897"/>
      <w:bookmarkStart w:id="308" w:name="_Toc9425"/>
      <w:bookmarkStart w:id="309" w:name="_Toc394"/>
      <w:bookmarkStart w:id="310" w:name="_Toc29936"/>
      <w:bookmarkStart w:id="311" w:name="_Toc13145"/>
      <w:bookmarkStart w:id="312" w:name="_Toc26271_WPSOffice_Level1"/>
      <w:r>
        <w:rPr>
          <w:rFonts w:hint="eastAsia" w:ascii="仿宋_GB2312" w:eastAsia="仿宋_GB2312"/>
          <w:sz w:val="32"/>
          <w:szCs w:val="32"/>
          <w:lang w:val="en-US" w:eastAsia="zh-CN"/>
        </w:rPr>
        <w:t>五、项目售后服务及质量诺……………………………………（ ）</w:t>
      </w:r>
      <w:bookmarkEnd w:id="303"/>
      <w:bookmarkEnd w:id="304"/>
      <w:bookmarkEnd w:id="305"/>
      <w:bookmarkEnd w:id="306"/>
      <w:bookmarkEnd w:id="307"/>
      <w:bookmarkEnd w:id="308"/>
      <w:bookmarkEnd w:id="309"/>
      <w:bookmarkEnd w:id="310"/>
      <w:bookmarkEnd w:id="311"/>
      <w:bookmarkEnd w:id="312"/>
    </w:p>
    <w:p>
      <w:pPr>
        <w:pStyle w:val="7"/>
        <w:spacing w:line="360" w:lineRule="auto"/>
        <w:rPr>
          <w:rFonts w:hint="eastAsia" w:ascii="仿宋_GB2312" w:eastAsia="仿宋_GB2312"/>
          <w:sz w:val="32"/>
          <w:szCs w:val="32"/>
          <w:lang w:eastAsia="zh-CN"/>
        </w:rPr>
      </w:pPr>
      <w:bookmarkStart w:id="313" w:name="_Toc1887"/>
      <w:bookmarkStart w:id="314" w:name="_Toc30374"/>
      <w:bookmarkStart w:id="315" w:name="_Toc29046"/>
      <w:bookmarkStart w:id="316" w:name="_Toc7871"/>
      <w:bookmarkStart w:id="317" w:name="_Toc12969"/>
      <w:bookmarkStart w:id="318" w:name="_Toc6048"/>
      <w:bookmarkStart w:id="319" w:name="_Toc11825"/>
      <w:bookmarkStart w:id="320" w:name="_Toc9684"/>
      <w:bookmarkStart w:id="321" w:name="_Toc10548"/>
      <w:bookmarkStart w:id="322" w:name="_Toc14662_WPSOffice_Level1"/>
      <w:r>
        <w:rPr>
          <w:rFonts w:hint="eastAsia" w:ascii="仿宋_GB2312" w:eastAsia="仿宋_GB2312"/>
          <w:sz w:val="32"/>
          <w:szCs w:val="32"/>
          <w:lang w:val="en-US" w:eastAsia="zh-CN"/>
        </w:rPr>
        <w:t>六、各类资质证明材料…………………………………………（ ）</w:t>
      </w:r>
      <w:bookmarkEnd w:id="313"/>
      <w:bookmarkEnd w:id="314"/>
      <w:bookmarkEnd w:id="315"/>
      <w:bookmarkEnd w:id="316"/>
      <w:bookmarkEnd w:id="317"/>
      <w:bookmarkEnd w:id="318"/>
      <w:bookmarkEnd w:id="319"/>
      <w:bookmarkEnd w:id="320"/>
      <w:bookmarkEnd w:id="321"/>
      <w:bookmarkEnd w:id="322"/>
    </w:p>
    <w:p>
      <w:pPr>
        <w:pStyle w:val="7"/>
        <w:spacing w:line="360" w:lineRule="auto"/>
        <w:ind w:firstLine="960" w:firstLineChars="300"/>
        <w:rPr>
          <w:rFonts w:hint="eastAsia" w:ascii="仿宋_GB2312" w:eastAsia="仿宋_GB2312"/>
          <w:sz w:val="32"/>
          <w:szCs w:val="32"/>
          <w:lang w:eastAsia="zh-CN"/>
        </w:rPr>
      </w:pPr>
    </w:p>
    <w:p>
      <w:pPr>
        <w:rPr>
          <w:rFonts w:ascii="仿宋" w:hAnsi="仿宋" w:eastAsia="仿宋"/>
          <w:sz w:val="28"/>
          <w:szCs w:val="28"/>
        </w:rPr>
      </w:pPr>
    </w:p>
    <w:p>
      <w:pPr>
        <w:tabs>
          <w:tab w:val="left" w:pos="1200"/>
        </w:tabs>
        <w:rPr>
          <w:rFonts w:ascii="仿宋" w:hAnsi="仿宋" w:eastAsia="仿宋"/>
          <w:sz w:val="28"/>
          <w:szCs w:val="28"/>
        </w:rPr>
      </w:pPr>
      <w:r>
        <w:rPr>
          <w:rFonts w:ascii="仿宋" w:hAnsi="仿宋" w:eastAsia="仿宋"/>
          <w:sz w:val="28"/>
          <w:szCs w:val="28"/>
        </w:rPr>
        <w:tab/>
      </w:r>
    </w:p>
    <w:p>
      <w:pPr>
        <w:pStyle w:val="3"/>
        <w:spacing w:line="360" w:lineRule="auto"/>
        <w:rPr>
          <w:rFonts w:hint="eastAsia" w:ascii="仿宋" w:hAnsi="仿宋" w:eastAsia="仿宋"/>
          <w:color w:val="000000"/>
          <w:sz w:val="28"/>
          <w:szCs w:val="28"/>
        </w:rPr>
      </w:pPr>
      <w:r>
        <w:rPr>
          <w:rFonts w:hint="eastAsia" w:ascii="仿宋" w:hAnsi="仿宋" w:eastAsia="仿宋"/>
          <w:sz w:val="28"/>
          <w:szCs w:val="28"/>
        </w:rPr>
        <w:br w:type="page"/>
      </w:r>
      <w:bookmarkStart w:id="323" w:name="_Toc2896"/>
      <w:r>
        <w:rPr>
          <w:rFonts w:hint="eastAsia"/>
          <w:lang w:eastAsia="zh-CN"/>
        </w:rPr>
        <w:t>格式三：</w:t>
      </w:r>
      <w:bookmarkEnd w:id="323"/>
    </w:p>
    <w:p>
      <w:pPr>
        <w:jc w:val="center"/>
        <w:rPr>
          <w:rFonts w:hint="eastAsia" w:ascii="仿宋" w:hAnsi="仿宋" w:eastAsia="仿宋"/>
          <w:b/>
          <w:bCs/>
          <w:color w:val="000000"/>
          <w:sz w:val="28"/>
          <w:szCs w:val="28"/>
        </w:rPr>
      </w:pPr>
      <w:bookmarkStart w:id="324" w:name="_Toc13196_WPSOffice_Level1"/>
      <w:bookmarkStart w:id="325" w:name="_Toc7896"/>
      <w:bookmarkStart w:id="326" w:name="_Toc24814"/>
      <w:bookmarkStart w:id="327" w:name="_Toc11498"/>
      <w:bookmarkStart w:id="328" w:name="_Toc13519"/>
      <w:bookmarkStart w:id="329" w:name="_Toc10785"/>
      <w:bookmarkStart w:id="330" w:name="_Toc22245"/>
      <w:bookmarkStart w:id="331" w:name="_Toc12858"/>
      <w:bookmarkStart w:id="332" w:name="_Toc23142"/>
      <w:bookmarkStart w:id="333" w:name="_Toc1972"/>
      <w:r>
        <w:rPr>
          <w:rFonts w:hint="eastAsia" w:ascii="仿宋" w:hAnsi="仿宋" w:eastAsia="仿宋"/>
          <w:b/>
          <w:bCs/>
          <w:color w:val="000000"/>
          <w:sz w:val="28"/>
          <w:szCs w:val="28"/>
        </w:rPr>
        <w:t>投标承诺书</w:t>
      </w:r>
      <w:bookmarkEnd w:id="324"/>
      <w:bookmarkEnd w:id="325"/>
      <w:bookmarkEnd w:id="326"/>
      <w:bookmarkEnd w:id="327"/>
      <w:bookmarkEnd w:id="328"/>
      <w:bookmarkEnd w:id="329"/>
      <w:bookmarkEnd w:id="330"/>
      <w:bookmarkEnd w:id="331"/>
      <w:bookmarkEnd w:id="332"/>
      <w:bookmarkEnd w:id="333"/>
    </w:p>
    <w:p>
      <w:pPr>
        <w:jc w:val="center"/>
        <w:rPr>
          <w:rFonts w:hint="eastAsia" w:ascii="仿宋" w:hAnsi="仿宋" w:eastAsia="仿宋"/>
          <w:b/>
          <w:bCs/>
          <w:color w:val="000000"/>
          <w:sz w:val="28"/>
          <w:szCs w:val="28"/>
        </w:rPr>
      </w:pPr>
    </w:p>
    <w:p>
      <w:pPr>
        <w:spacing w:line="360" w:lineRule="auto"/>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鄂尔多斯伊金霍洛国际机场有限公司： </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1.按照已收到的项目编号为              的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2. 一旦我方中标，我方保证在合同签订后履行服务内容。</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3. 我方同意所递交的响应文件在“投标须知”规定的投标有效期内有效，在此期间内我方的投标如能中标，我方将受此约束。</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4. 我方郑重声明：所提供的响应文件内容全部真实有效。</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5. 我方接受招标文件所列须知中关于没收投标保证金的约定。</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6. 我方同意提供按照贵方可能另外要求的与其投标有关的任何数据或资料。除非另外达成协议并生效，否则，中标通知书和本响应文件将构成约束双方合同的组成部分。</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供应商名称：</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详细地址：                        邮政编码：</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电    话：        </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传    真：                        电子函件：</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供应商开户银行：                  </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账号/行号：</w:t>
      </w:r>
    </w:p>
    <w:p>
      <w:pPr>
        <w:spacing w:line="360" w:lineRule="auto"/>
        <w:ind w:firstLine="640" w:firstLineChars="200"/>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供应商法人签字：</w:t>
      </w:r>
    </w:p>
    <w:p>
      <w:pPr>
        <w:spacing w:line="360" w:lineRule="auto"/>
        <w:ind w:firstLine="640" w:firstLineChars="200"/>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供应商法人授权代表签字：</w:t>
      </w:r>
    </w:p>
    <w:p>
      <w:pPr>
        <w:spacing w:line="360" w:lineRule="auto"/>
        <w:ind w:firstLine="640" w:firstLineChars="200"/>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供应商名称(公章)：</w:t>
      </w:r>
    </w:p>
    <w:p>
      <w:pPr>
        <w:spacing w:line="360" w:lineRule="auto"/>
        <w:ind w:firstLine="640" w:firstLineChars="200"/>
        <w:jc w:val="center"/>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                                   </w:t>
      </w:r>
      <w:bookmarkStart w:id="334" w:name="_Toc5890"/>
      <w:bookmarkStart w:id="335" w:name="_Toc28056"/>
      <w:bookmarkStart w:id="336" w:name="_Toc17032"/>
      <w:bookmarkStart w:id="337" w:name="_Toc17829"/>
      <w:bookmarkStart w:id="338" w:name="_Toc16927"/>
      <w:bookmarkStart w:id="339" w:name="_Toc11038"/>
      <w:bookmarkStart w:id="340" w:name="_Toc2049"/>
      <w:bookmarkStart w:id="341" w:name="_Toc27457"/>
      <w:bookmarkStart w:id="342" w:name="_Toc3880"/>
      <w:bookmarkStart w:id="343" w:name="_Toc14654_WPSOffice_Level1"/>
      <w:r>
        <w:rPr>
          <w:rFonts w:hint="eastAsia" w:ascii="仿宋_GB2312" w:hAnsi="Courier New" w:eastAsia="仿宋_GB2312" w:cs="Times New Roman"/>
          <w:kern w:val="0"/>
          <w:sz w:val="32"/>
          <w:szCs w:val="32"/>
        </w:rPr>
        <w:t>年 月 日</w:t>
      </w:r>
      <w:bookmarkEnd w:id="334"/>
      <w:bookmarkEnd w:id="335"/>
      <w:bookmarkEnd w:id="336"/>
      <w:bookmarkEnd w:id="337"/>
      <w:bookmarkEnd w:id="338"/>
      <w:bookmarkEnd w:id="339"/>
      <w:bookmarkEnd w:id="340"/>
      <w:bookmarkEnd w:id="341"/>
      <w:bookmarkEnd w:id="342"/>
      <w:bookmarkEnd w:id="343"/>
    </w:p>
    <w:p>
      <w:pPr>
        <w:autoSpaceDE w:val="0"/>
        <w:autoSpaceDN w:val="0"/>
        <w:spacing w:line="450" w:lineRule="exact"/>
        <w:ind w:firstLine="560" w:firstLineChars="200"/>
        <w:rPr>
          <w:rFonts w:hint="eastAsia" w:ascii="仿宋" w:hAnsi="仿宋" w:eastAsia="仿宋"/>
          <w:color w:val="000000"/>
          <w:sz w:val="28"/>
          <w:szCs w:val="28"/>
        </w:rPr>
      </w:pPr>
    </w:p>
    <w:p>
      <w:pPr>
        <w:pStyle w:val="3"/>
        <w:tabs>
          <w:tab w:val="left" w:pos="480"/>
        </w:tabs>
        <w:spacing w:line="360" w:lineRule="auto"/>
        <w:rPr>
          <w:rFonts w:hint="eastAsia" w:ascii="仿宋" w:hAnsi="仿宋" w:eastAsia="仿宋"/>
          <w:lang w:eastAsia="zh-CN"/>
        </w:rPr>
      </w:pPr>
      <w:r>
        <w:rPr>
          <w:rFonts w:hint="eastAsia" w:ascii="仿宋" w:hAnsi="仿宋" w:eastAsia="仿宋"/>
          <w:b/>
          <w:bCs w:val="0"/>
        </w:rPr>
        <w:br w:type="page"/>
      </w:r>
      <w:bookmarkStart w:id="344" w:name="_Toc497313884"/>
      <w:bookmarkStart w:id="345" w:name="_Toc14291"/>
      <w:r>
        <w:rPr>
          <w:rFonts w:hint="eastAsia"/>
          <w:lang w:eastAsia="zh-CN"/>
        </w:rPr>
        <w:t>格式四：</w:t>
      </w:r>
      <w:bookmarkEnd w:id="344"/>
      <w:bookmarkEnd w:id="345"/>
    </w:p>
    <w:p>
      <w:pPr>
        <w:spacing w:line="360" w:lineRule="auto"/>
        <w:ind w:firstLine="640" w:firstLineChars="200"/>
        <w:jc w:val="center"/>
        <w:rPr>
          <w:rFonts w:hint="eastAsia" w:ascii="仿宋_GB2312" w:hAnsi="Courier New" w:eastAsia="仿宋_GB2312" w:cs="Times New Roman"/>
          <w:kern w:val="0"/>
          <w:sz w:val="32"/>
          <w:szCs w:val="32"/>
        </w:rPr>
      </w:pPr>
      <w:bookmarkStart w:id="346" w:name="_Toc2239"/>
      <w:bookmarkStart w:id="347" w:name="_Toc26123"/>
      <w:bookmarkStart w:id="348" w:name="_Toc15459"/>
      <w:bookmarkStart w:id="349" w:name="_Toc20282"/>
      <w:bookmarkStart w:id="350" w:name="_Toc10505_WPSOffice_Level1"/>
      <w:bookmarkStart w:id="351" w:name="_Toc4747"/>
      <w:bookmarkStart w:id="352" w:name="_Toc2531"/>
      <w:bookmarkStart w:id="353" w:name="_Toc9554"/>
      <w:bookmarkStart w:id="354" w:name="_Toc27281"/>
      <w:bookmarkStart w:id="355" w:name="_Toc32344"/>
      <w:r>
        <w:rPr>
          <w:rFonts w:hint="eastAsia" w:ascii="仿宋_GB2312" w:hAnsi="Courier New" w:eastAsia="仿宋_GB2312" w:cs="Times New Roman"/>
          <w:kern w:val="0"/>
          <w:sz w:val="32"/>
          <w:szCs w:val="32"/>
        </w:rPr>
        <w:t>法定代表人授权委托书</w:t>
      </w:r>
      <w:bookmarkEnd w:id="346"/>
      <w:bookmarkEnd w:id="347"/>
      <w:bookmarkEnd w:id="348"/>
      <w:bookmarkEnd w:id="349"/>
      <w:bookmarkEnd w:id="350"/>
      <w:bookmarkEnd w:id="351"/>
      <w:bookmarkEnd w:id="352"/>
      <w:bookmarkEnd w:id="353"/>
      <w:bookmarkEnd w:id="354"/>
      <w:bookmarkEnd w:id="355"/>
    </w:p>
    <w:p>
      <w:pPr>
        <w:spacing w:line="360" w:lineRule="auto"/>
        <w:ind w:firstLine="640" w:firstLineChars="200"/>
        <w:jc w:val="left"/>
        <w:rPr>
          <w:rFonts w:hint="eastAsia" w:ascii="仿宋_GB2312" w:hAnsi="Courier New" w:eastAsia="仿宋_GB2312" w:cs="Times New Roman"/>
          <w:kern w:val="0"/>
          <w:sz w:val="32"/>
          <w:szCs w:val="32"/>
        </w:rPr>
      </w:pP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兹委派我单位        （姓名）参加贵单位组织的                  采购活动（项目编号：          ），委派人全权代表我单位处理本次竞标中的有关事务，并签署全部有关文件、协议及合同。我单位对委托代理人签署内容负全部责任。</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本授权书于签字盖章后生效，在贵公司收到撤消授权的书面通知以前，本授权书一直有效。被授权人签署的所有文件不因授权的撤消而失效。</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委托代理人无转委权。</w:t>
      </w:r>
    </w:p>
    <w:p>
      <w:pPr>
        <w:spacing w:line="360" w:lineRule="auto"/>
        <w:ind w:firstLine="640" w:firstLineChars="200"/>
        <w:jc w:val="left"/>
        <w:rPr>
          <w:rFonts w:hint="eastAsia" w:ascii="仿宋" w:hAnsi="仿宋" w:eastAsia="仿宋"/>
          <w:sz w:val="28"/>
          <w:szCs w:val="28"/>
        </w:rPr>
      </w:pPr>
      <w:r>
        <w:rPr>
          <w:rFonts w:hint="eastAsia" w:ascii="仿宋_GB2312" w:hAnsi="Courier New" w:eastAsia="仿宋_GB2312" w:cs="Times New Roman"/>
          <w:kern w:val="0"/>
          <w:sz w:val="32"/>
          <w:szCs w:val="32"/>
        </w:rPr>
        <w:t>特此委托。</w:t>
      </w:r>
      <w:r>
        <w:rPr>
          <w:rFonts w:ascii="仿宋" w:hAnsi="仿宋" w:eastAsia="仿宋"/>
          <w:sz w:val="28"/>
          <w:szCs w:val="28"/>
        </w:rPr>
        <w:tab/>
      </w:r>
    </w:p>
    <w:p>
      <w:pPr>
        <w:spacing w:line="450" w:lineRule="exact"/>
        <w:ind w:firstLine="56" w:firstLineChars="20"/>
        <w:rPr>
          <w:rFonts w:hint="eastAsia" w:ascii="仿宋" w:hAnsi="仿宋" w:eastAsia="仿宋"/>
          <w:sz w:val="28"/>
          <w:szCs w:val="28"/>
        </w:rPr>
      </w:pPr>
    </w:p>
    <w:p>
      <w:pPr>
        <w:spacing w:line="450" w:lineRule="exact"/>
        <w:ind w:firstLine="48" w:firstLineChars="20"/>
        <w:rPr>
          <w:rFonts w:hint="eastAsia" w:ascii="仿宋" w:hAnsi="仿宋" w:eastAsia="仿宋"/>
          <w:sz w:val="28"/>
          <w:szCs w:val="28"/>
        </w:rPr>
      </w:pPr>
      <w:r>
        <w:rPr>
          <w:rFonts w:hint="eastAsia" w:eastAsia="仿宋_GB2312"/>
          <w:sz w:val="24"/>
          <w:szCs w:val="22"/>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3" name="Text Box 3"/>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法定代表人身份证扫描件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5X+0HWAAAACgEA&#10;AA8AAAAAAAAAAQAgAAAAIgAAAGRycy9kb3ducmV2LnhtbFBLAQIUABQAAAAIAIdO4kAP8tkOHAIA&#10;AEcEAAAOAAAAAAAAAAEAIAAAACUBAABkcnMvZTJvRG9jLnhtbFBLBQYAAAAABgAGAFkBAACzBQAA&#10;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法定代表人身份证扫描件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v:textbox>
              </v:shape>
            </w:pict>
          </mc:Fallback>
        </mc:AlternateContent>
      </w:r>
      <w:r>
        <w:rPr>
          <w:rFonts w:hint="eastAsia" w:eastAsia="仿宋_GB2312"/>
          <w:sz w:val="24"/>
          <w:szCs w:val="22"/>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7" name="Text Box 2"/>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委托代理人身份证扫描件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j+LVa2AAAAAoB&#10;AAAPAAAAAAAAAAEAIAAAACIAAABkcnMvZG93bnJldi54bWxQSwECFAAUAAAACACHTuJAqAY4TBsC&#10;AABHBAAADgAAAAAAAAABACAAAAAnAQAAZHJzL2Uyb0RvYy54bWxQSwUGAAAAAAYABgBZAQAAtAUA&#10;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委托代理人身份证扫描件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v:textbox>
              </v:shape>
            </w:pict>
          </mc:Fallback>
        </mc:AlternateContent>
      </w: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rPr>
          <w:rFonts w:hint="eastAsia" w:ascii="仿宋" w:hAnsi="仿宋" w:eastAsia="仿宋"/>
          <w:sz w:val="28"/>
          <w:szCs w:val="28"/>
        </w:rPr>
      </w:pP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供应商名称：（公章）</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法定代表人：（签字）</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                                   年   月   日</w:t>
      </w:r>
    </w:p>
    <w:p>
      <w:pPr>
        <w:pStyle w:val="3"/>
        <w:spacing w:line="360" w:lineRule="auto"/>
        <w:rPr>
          <w:rFonts w:hint="eastAsia" w:ascii="仿宋" w:hAnsi="仿宋" w:eastAsia="仿宋"/>
          <w:b/>
          <w:sz w:val="28"/>
          <w:szCs w:val="28"/>
          <w:lang w:eastAsia="zh-CN"/>
        </w:rPr>
      </w:pPr>
      <w:r>
        <w:rPr>
          <w:rFonts w:hint="eastAsia" w:ascii="仿宋" w:hAnsi="仿宋" w:eastAsia="仿宋"/>
          <w:b/>
          <w:sz w:val="28"/>
        </w:rPr>
        <w:br w:type="page"/>
      </w:r>
      <w:bookmarkStart w:id="356" w:name="_Toc30517"/>
      <w:bookmarkStart w:id="357" w:name="_Toc497313885"/>
      <w:r>
        <w:rPr>
          <w:rFonts w:hint="eastAsia"/>
          <w:lang w:eastAsia="zh-CN"/>
        </w:rPr>
        <w:t>格式五：</w:t>
      </w:r>
      <w:bookmarkEnd w:id="356"/>
      <w:bookmarkEnd w:id="357"/>
    </w:p>
    <w:p>
      <w:pPr>
        <w:jc w:val="center"/>
        <w:rPr>
          <w:rFonts w:hint="eastAsia" w:ascii="仿宋" w:hAnsi="仿宋" w:eastAsia="仿宋"/>
          <w:sz w:val="28"/>
          <w:szCs w:val="28"/>
        </w:rPr>
      </w:pPr>
      <w:bookmarkStart w:id="358" w:name="_Toc14467"/>
      <w:bookmarkStart w:id="359" w:name="_Toc11202"/>
      <w:bookmarkStart w:id="360" w:name="_Toc4109"/>
      <w:bookmarkStart w:id="361" w:name="_Toc28158"/>
      <w:bookmarkStart w:id="362" w:name="_Toc8844"/>
      <w:bookmarkStart w:id="363" w:name="_Toc8546"/>
      <w:bookmarkStart w:id="364" w:name="_Toc7242"/>
      <w:bookmarkStart w:id="365" w:name="_Toc24120"/>
      <w:bookmarkStart w:id="366" w:name="_Toc16820"/>
      <w:bookmarkStart w:id="367" w:name="_Toc31667_WPSOffice_Level1"/>
      <w:r>
        <w:rPr>
          <w:rFonts w:hint="eastAsia" w:ascii="仿宋_GB2312" w:hAnsi="Courier New" w:eastAsia="仿宋_GB2312" w:cs="Times New Roman"/>
          <w:kern w:val="0"/>
          <w:sz w:val="32"/>
          <w:szCs w:val="32"/>
        </w:rPr>
        <w:t>投标项目分项报价明细表</w:t>
      </w:r>
      <w:bookmarkEnd w:id="358"/>
      <w:bookmarkEnd w:id="359"/>
      <w:bookmarkEnd w:id="360"/>
      <w:bookmarkEnd w:id="361"/>
      <w:bookmarkEnd w:id="362"/>
      <w:bookmarkEnd w:id="363"/>
      <w:bookmarkEnd w:id="364"/>
      <w:bookmarkEnd w:id="365"/>
      <w:bookmarkEnd w:id="366"/>
      <w:bookmarkEnd w:id="367"/>
    </w:p>
    <w:p>
      <w:pPr>
        <w:spacing w:line="460" w:lineRule="exact"/>
        <w:jc w:val="center"/>
        <w:rPr>
          <w:rFonts w:hint="eastAsia" w:ascii="仿宋" w:hAnsi="仿宋" w:eastAsia="仿宋"/>
          <w:b/>
          <w:color w:val="000000"/>
          <w:sz w:val="28"/>
          <w:szCs w:val="28"/>
        </w:rPr>
      </w:pP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项目名称：</w:t>
      </w: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项目编号：</w:t>
      </w:r>
    </w:p>
    <w:tbl>
      <w:tblPr>
        <w:tblStyle w:val="1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1294"/>
        <w:gridCol w:w="1294"/>
        <w:gridCol w:w="1294"/>
        <w:gridCol w:w="1294"/>
        <w:gridCol w:w="1295"/>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4"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c>
          <w:tcPr>
            <w:tcW w:w="1295" w:type="dxa"/>
            <w:vAlign w:val="top"/>
          </w:tcPr>
          <w:p>
            <w:pPr>
              <w:rPr>
                <w:rFonts w:hint="eastAsia" w:ascii="仿宋" w:hAnsi="仿宋" w:eastAsia="仿宋" w:cs="Times New Roman"/>
                <w:sz w:val="28"/>
                <w:szCs w:val="28"/>
              </w:rPr>
            </w:pPr>
          </w:p>
        </w:tc>
      </w:tr>
    </w:tbl>
    <w:p>
      <w:pPr>
        <w:rPr>
          <w:rFonts w:hint="eastAsia" w:ascii="仿宋" w:hAnsi="仿宋" w:eastAsia="仿宋" w:cs="Times New Roman"/>
          <w:sz w:val="28"/>
          <w:szCs w:val="28"/>
        </w:rPr>
      </w:pPr>
    </w:p>
    <w:p>
      <w:pPr>
        <w:jc w:val="right"/>
        <w:rPr>
          <w:rFonts w:hint="eastAsia" w:ascii="仿宋" w:hAnsi="仿宋" w:eastAsia="仿宋" w:cs="Times New Roman"/>
          <w:sz w:val="28"/>
          <w:szCs w:val="28"/>
        </w:rPr>
      </w:pPr>
    </w:p>
    <w:p>
      <w:pPr>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供应商名称：（公章）</w:t>
      </w:r>
    </w:p>
    <w:p>
      <w:pPr>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日期：   年  月   日</w:t>
      </w:r>
    </w:p>
    <w:p>
      <w:pPr>
        <w:jc w:val="left"/>
        <w:rPr>
          <w:rFonts w:hint="eastAsia" w:ascii="仿宋_GB2312" w:hAnsi="Courier New" w:eastAsia="仿宋_GB2312" w:cs="Times New Roman"/>
          <w:kern w:val="0"/>
          <w:sz w:val="32"/>
          <w:szCs w:val="32"/>
        </w:rPr>
      </w:pP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近三年同类投标项目或类似项目的业绩证明材料（格式自定）</w:t>
      </w: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项目售后服务及质量承诺（格式自定）</w:t>
      </w: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各类资质证明材（格式自定）</w:t>
      </w:r>
    </w:p>
    <w:p>
      <w:pPr>
        <w:rPr>
          <w:rFonts w:hint="eastAsia" w:ascii="仿宋_GB2312" w:hAnsi="Courier New" w:eastAsia="仿宋_GB2312"/>
          <w:sz w:val="32"/>
          <w:szCs w:val="32"/>
        </w:rPr>
      </w:pPr>
    </w:p>
    <w:sectPr>
      <w:headerReference r:id="rId3" w:type="default"/>
      <w:footerReference r:id="rId4" w:type="default"/>
      <w:pgSz w:w="11906" w:h="16838"/>
      <w:pgMar w:top="1701" w:right="1474" w:bottom="1701" w:left="1588" w:header="851" w:footer="992" w:gutter="0"/>
      <w:pgBorders w:display="firstPage" w:offsetFrom="page">
        <w:top w:val="none" w:sz="0" w:space="0"/>
        <w:left w:val="none" w:sz="0" w:space="0"/>
        <w:bottom w:val="none" w:sz="0" w:space="0"/>
        <w:right w:val="none" w:sz="0" w:space="0"/>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180"/>
      <w:jc w:val="right"/>
    </w:pPr>
    <w:r>
      <w:fldChar w:fldCharType="begin"/>
    </w:r>
    <w:r>
      <w:instrText xml:space="preserve">PAGE   \* MERGEFORMAT</w:instrText>
    </w:r>
    <w:r>
      <w:fldChar w:fldCharType="separate"/>
    </w:r>
    <w:r>
      <w:rPr>
        <w:lang w:val="zh-CN"/>
      </w:rPr>
      <w:t>2</w:t>
    </w:r>
    <w:r>
      <w:rPr>
        <w:lang w:val="zh-CN"/>
      </w:rP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sz w:val="21"/>
        <w:szCs w:val="21"/>
      </w:rPr>
    </w:pPr>
    <w:r>
      <w:t xml:space="preserve">                                                   </w:t>
    </w:r>
    <w:r>
      <w:rPr>
        <w:rFonts w:hint="eastAsia" w:cs="宋体"/>
        <w:sz w:val="21"/>
        <w:szCs w:val="21"/>
      </w:rPr>
      <w:t>鄂尔多斯伊金霍洛</w:t>
    </w:r>
    <w:r>
      <w:rPr>
        <w:rFonts w:hint="eastAsia" w:cs="宋体"/>
        <w:sz w:val="21"/>
        <w:szCs w:val="21"/>
        <w:lang w:eastAsia="zh-CN"/>
      </w:rPr>
      <w:t>国际</w:t>
    </w:r>
    <w:r>
      <w:rPr>
        <w:rFonts w:hint="eastAsia" w:cs="宋体"/>
        <w:sz w:val="21"/>
        <w:szCs w:val="21"/>
      </w:rPr>
      <w:t>机场有限公司采购文件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D990D0"/>
    <w:multiLevelType w:val="singleLevel"/>
    <w:tmpl w:val="CDD990D0"/>
    <w:lvl w:ilvl="0" w:tentative="0">
      <w:start w:val="1"/>
      <w:numFmt w:val="decimal"/>
      <w:suff w:val="nothing"/>
      <w:lvlText w:val="%1、"/>
      <w:lvlJc w:val="left"/>
    </w:lvl>
  </w:abstractNum>
  <w:abstractNum w:abstractNumId="1">
    <w:nsid w:val="FFFFFFFB"/>
    <w:multiLevelType w:val="multilevel"/>
    <w:tmpl w:val="FFFFFFFB"/>
    <w:lvl w:ilvl="0" w:tentative="0">
      <w:start w:val="1"/>
      <w:numFmt w:val="decimal"/>
      <w:lvlText w:val="%1."/>
      <w:legacy w:legacy="1" w:legacySpace="0" w:legacyIndent="425"/>
      <w:lvlJc w:val="left"/>
      <w:pPr>
        <w:ind w:left="425" w:hanging="425"/>
      </w:pPr>
    </w:lvl>
    <w:lvl w:ilvl="1" w:tentative="0">
      <w:start w:val="1"/>
      <w:numFmt w:val="decimal"/>
      <w:lvlText w:val="%1.%2."/>
      <w:legacy w:legacy="1" w:legacySpace="0" w:legacyIndent="425"/>
      <w:lvlJc w:val="left"/>
      <w:pPr>
        <w:ind w:left="850" w:hanging="425"/>
      </w:pPr>
    </w:lvl>
    <w:lvl w:ilvl="2" w:tentative="0">
      <w:start w:val="1"/>
      <w:numFmt w:val="decimal"/>
      <w:lvlText w:val="%1.%2.%3."/>
      <w:legacy w:legacy="1" w:legacySpace="0" w:legacyIndent="425"/>
      <w:lvlJc w:val="left"/>
      <w:pPr>
        <w:ind w:left="1275" w:hanging="425"/>
      </w:pPr>
    </w:lvl>
    <w:lvl w:ilvl="3" w:tentative="0">
      <w:start w:val="1"/>
      <w:numFmt w:val="decimal"/>
      <w:pStyle w:val="4"/>
      <w:lvlText w:val="%1.%2.%3.%4."/>
      <w:legacy w:legacy="1" w:legacySpace="0" w:legacyIndent="425"/>
      <w:lvlJc w:val="left"/>
      <w:pPr>
        <w:ind w:left="1700" w:hanging="425"/>
      </w:pPr>
    </w:lvl>
    <w:lvl w:ilvl="4" w:tentative="0">
      <w:start w:val="1"/>
      <w:numFmt w:val="decimal"/>
      <w:lvlText w:val="%1.%2.%3.%4.%5."/>
      <w:legacy w:legacy="1" w:legacySpace="0" w:legacyIndent="425"/>
      <w:lvlJc w:val="left"/>
      <w:pPr>
        <w:ind w:left="2125" w:hanging="425"/>
      </w:pPr>
    </w:lvl>
    <w:lvl w:ilvl="5" w:tentative="0">
      <w:start w:val="1"/>
      <w:numFmt w:val="decimal"/>
      <w:lvlText w:val="%1.%2.%3.%4.%5.%6."/>
      <w:legacy w:legacy="1" w:legacySpace="0" w:legacyIndent="425"/>
      <w:lvlJc w:val="left"/>
      <w:pPr>
        <w:ind w:left="2550" w:hanging="425"/>
      </w:pPr>
    </w:lvl>
    <w:lvl w:ilvl="6" w:tentative="0">
      <w:start w:val="1"/>
      <w:numFmt w:val="decimal"/>
      <w:lvlText w:val="%1.%2.%3.%4.%5.%6.%7."/>
      <w:legacy w:legacy="1" w:legacySpace="0" w:legacyIndent="425"/>
      <w:lvlJc w:val="left"/>
      <w:pPr>
        <w:ind w:left="2975" w:hanging="425"/>
      </w:pPr>
    </w:lvl>
    <w:lvl w:ilvl="7" w:tentative="0">
      <w:start w:val="1"/>
      <w:numFmt w:val="decimal"/>
      <w:lvlText w:val="%1.%2.%3.%4.%5.%6.%7.%8."/>
      <w:legacy w:legacy="1" w:legacySpace="0" w:legacyIndent="425"/>
      <w:lvlJc w:val="left"/>
      <w:pPr>
        <w:ind w:left="3400" w:hanging="425"/>
      </w:pPr>
    </w:lvl>
    <w:lvl w:ilvl="8" w:tentative="0">
      <w:start w:val="1"/>
      <w:numFmt w:val="decimal"/>
      <w:lvlText w:val="%1.%2.%3.%4.%5.%6.%7.%8.%9."/>
      <w:legacy w:legacy="1" w:legacySpace="0" w:legacyIndent="425"/>
      <w:lvlJc w:val="left"/>
      <w:pPr>
        <w:ind w:left="3825" w:hanging="425"/>
      </w:pPr>
    </w:lvl>
  </w:abstractNum>
  <w:abstractNum w:abstractNumId="2">
    <w:nsid w:val="0000000B"/>
    <w:multiLevelType w:val="multilevel"/>
    <w:tmpl w:val="0000000B"/>
    <w:lvl w:ilvl="0" w:tentative="0">
      <w:start w:val="1"/>
      <w:numFmt w:val="bullet"/>
      <w:pStyle w:val="21"/>
      <w:lvlText w:val=""/>
      <w:lvlJc w:val="left"/>
      <w:pPr>
        <w:ind w:left="360" w:hanging="360"/>
      </w:pPr>
      <w:rPr>
        <w:rFonts w:hint="default" w:ascii="Wingdings" w:hAnsi="Wingdings"/>
      </w:rPr>
    </w:lvl>
    <w:lvl w:ilvl="1" w:tentative="0">
      <w:start w:val="2"/>
      <w:numFmt w:val="decimal"/>
      <w:lvlText w:val="%2、"/>
      <w:lvlJc w:val="left"/>
      <w:pPr>
        <w:tabs>
          <w:tab w:val="left" w:pos="1140"/>
        </w:tabs>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B94E230"/>
    <w:multiLevelType w:val="multilevel"/>
    <w:tmpl w:val="0B94E230"/>
    <w:lvl w:ilvl="0" w:tentative="0">
      <w:start w:val="1"/>
      <w:numFmt w:val="bullet"/>
      <w:lvlText w:val=""/>
      <w:lvlJc w:val="left"/>
      <w:pPr>
        <w:tabs>
          <w:tab w:val="left" w:pos="846"/>
        </w:tabs>
        <w:ind w:left="846" w:hanging="420"/>
      </w:pPr>
      <w:rPr>
        <w:rFonts w:hint="default" w:ascii="Wingdings" w:hAnsi="Wingdings"/>
      </w:rPr>
    </w:lvl>
    <w:lvl w:ilvl="1" w:tentative="0">
      <w:start w:val="1"/>
      <w:numFmt w:val="bullet"/>
      <w:lvlRestart w:val="0"/>
      <w:lvlText w:val=""/>
      <w:lvlJc w:val="left"/>
      <w:pPr>
        <w:tabs>
          <w:tab w:val="left" w:pos="1266"/>
        </w:tabs>
        <w:ind w:left="1266" w:hanging="420"/>
      </w:pPr>
      <w:rPr>
        <w:rFonts w:hint="default" w:ascii="Wingdings" w:hAnsi="Wingdings"/>
      </w:rPr>
    </w:lvl>
    <w:lvl w:ilvl="2" w:tentative="0">
      <w:start w:val="1"/>
      <w:numFmt w:val="bullet"/>
      <w:lvlRestart w:val="0"/>
      <w:lvlText w:val=""/>
      <w:lvlJc w:val="left"/>
      <w:pPr>
        <w:tabs>
          <w:tab w:val="left" w:pos="1686"/>
        </w:tabs>
        <w:ind w:left="1686" w:hanging="420"/>
      </w:pPr>
      <w:rPr>
        <w:rFonts w:hint="default" w:ascii="Wingdings" w:hAnsi="Wingdings"/>
      </w:rPr>
    </w:lvl>
    <w:lvl w:ilvl="3" w:tentative="0">
      <w:start w:val="1"/>
      <w:numFmt w:val="bullet"/>
      <w:lvlRestart w:val="0"/>
      <w:lvlText w:val=""/>
      <w:lvlJc w:val="left"/>
      <w:pPr>
        <w:tabs>
          <w:tab w:val="left" w:pos="2106"/>
        </w:tabs>
        <w:ind w:left="2106" w:hanging="420"/>
      </w:pPr>
      <w:rPr>
        <w:rFonts w:hint="default" w:ascii="Wingdings" w:hAnsi="Wingdings"/>
      </w:rPr>
    </w:lvl>
    <w:lvl w:ilvl="4" w:tentative="0">
      <w:start w:val="1"/>
      <w:numFmt w:val="bullet"/>
      <w:lvlRestart w:val="0"/>
      <w:lvlText w:val=""/>
      <w:lvlJc w:val="left"/>
      <w:pPr>
        <w:tabs>
          <w:tab w:val="left" w:pos="2526"/>
        </w:tabs>
        <w:ind w:left="2526" w:hanging="420"/>
      </w:pPr>
      <w:rPr>
        <w:rFonts w:hint="default" w:ascii="Wingdings" w:hAnsi="Wingdings"/>
      </w:rPr>
    </w:lvl>
    <w:lvl w:ilvl="5" w:tentative="0">
      <w:start w:val="1"/>
      <w:numFmt w:val="bullet"/>
      <w:lvlRestart w:val="0"/>
      <w:lvlText w:val=""/>
      <w:lvlJc w:val="left"/>
      <w:pPr>
        <w:tabs>
          <w:tab w:val="left" w:pos="2946"/>
        </w:tabs>
        <w:ind w:left="2946" w:hanging="420"/>
      </w:pPr>
      <w:rPr>
        <w:rFonts w:hint="default" w:ascii="Wingdings" w:hAnsi="Wingdings"/>
      </w:rPr>
    </w:lvl>
    <w:lvl w:ilvl="6" w:tentative="0">
      <w:start w:val="1"/>
      <w:numFmt w:val="bullet"/>
      <w:lvlRestart w:val="0"/>
      <w:lvlText w:val=""/>
      <w:lvlJc w:val="left"/>
      <w:pPr>
        <w:tabs>
          <w:tab w:val="left" w:pos="3366"/>
        </w:tabs>
        <w:ind w:left="3366" w:hanging="420"/>
      </w:pPr>
      <w:rPr>
        <w:rFonts w:hint="default" w:ascii="Wingdings" w:hAnsi="Wingdings"/>
      </w:rPr>
    </w:lvl>
    <w:lvl w:ilvl="7" w:tentative="0">
      <w:start w:val="1"/>
      <w:numFmt w:val="bullet"/>
      <w:lvlRestart w:val="0"/>
      <w:lvlText w:val=""/>
      <w:lvlJc w:val="left"/>
      <w:pPr>
        <w:tabs>
          <w:tab w:val="left" w:pos="3786"/>
        </w:tabs>
        <w:ind w:left="3786" w:hanging="420"/>
      </w:pPr>
      <w:rPr>
        <w:rFonts w:hint="default" w:ascii="Wingdings" w:hAnsi="Wingdings"/>
      </w:rPr>
    </w:lvl>
    <w:lvl w:ilvl="8" w:tentative="0">
      <w:start w:val="1"/>
      <w:numFmt w:val="bullet"/>
      <w:lvlRestart w:val="0"/>
      <w:lvlText w:val=""/>
      <w:lvlJc w:val="left"/>
      <w:pPr>
        <w:tabs>
          <w:tab w:val="left" w:pos="4206"/>
        </w:tabs>
        <w:ind w:left="4206" w:hanging="420"/>
      </w:pPr>
      <w:rPr>
        <w:rFonts w:hint="default" w:ascii="Wingdings" w:hAnsi="Wingdings"/>
      </w:rPr>
    </w:lvl>
  </w:abstractNum>
  <w:abstractNum w:abstractNumId="4">
    <w:nsid w:val="4B8D3734"/>
    <w:multiLevelType w:val="multilevel"/>
    <w:tmpl w:val="4B8D3734"/>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5">
    <w:nsid w:val="508538E9"/>
    <w:multiLevelType w:val="multilevel"/>
    <w:tmpl w:val="508538E9"/>
    <w:lvl w:ilvl="0" w:tentative="0">
      <w:start w:val="1"/>
      <w:numFmt w:val="decimal"/>
      <w:lvlText w:val="%1."/>
      <w:lvlJc w:val="left"/>
      <w:pPr>
        <w:tabs>
          <w:tab w:val="left" w:pos="425"/>
        </w:tabs>
        <w:ind w:left="425" w:hanging="425"/>
      </w:pPr>
      <w:rPr>
        <w:rFonts w:hint="default" w:ascii="Times New Roman" w:hAnsi="Times New Roman" w:eastAsia="楷体_GB2312"/>
      </w:rPr>
    </w:lvl>
    <w:lvl w:ilvl="1" w:tentative="0">
      <w:start w:val="1"/>
      <w:numFmt w:val="decimal"/>
      <w:pStyle w:val="23"/>
      <w:lvlText w:val="%1.%2."/>
      <w:lvlJc w:val="left"/>
      <w:pPr>
        <w:tabs>
          <w:tab w:val="left" w:pos="567"/>
        </w:tabs>
        <w:ind w:left="567" w:hanging="567"/>
      </w:pPr>
      <w:rPr>
        <w:rFonts w:hint="default" w:ascii="Times New Roman" w:hAnsi="Times New Roman"/>
      </w:rPr>
    </w:lvl>
    <w:lvl w:ilvl="2" w:tentative="0">
      <w:start w:val="1"/>
      <w:numFmt w:val="decimal"/>
      <w:lvlText w:val="%1.%2.%3."/>
      <w:lvlJc w:val="left"/>
      <w:pPr>
        <w:tabs>
          <w:tab w:val="left" w:pos="709"/>
        </w:tabs>
        <w:ind w:left="709" w:hanging="709"/>
      </w:pPr>
      <w:rPr>
        <w:rFonts w:hint="default" w:ascii="Times New Roman" w:hAnsi="Times New Roman"/>
        <w:sz w:val="28"/>
        <w:szCs w:val="28"/>
      </w:rPr>
    </w:lvl>
    <w:lvl w:ilvl="3" w:tentative="0">
      <w:start w:val="1"/>
      <w:numFmt w:val="decimal"/>
      <w:lvlText w:val="%1.%2.%3.%4."/>
      <w:lvlJc w:val="left"/>
      <w:pPr>
        <w:tabs>
          <w:tab w:val="left" w:pos="851"/>
        </w:tabs>
        <w:ind w:left="851" w:hanging="851"/>
      </w:pPr>
      <w:rPr>
        <w:rFonts w:hint="default" w:ascii="Times New Roman" w:hAnsi="Times New Roman"/>
        <w:sz w:val="28"/>
        <w:szCs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609572E9"/>
    <w:multiLevelType w:val="multilevel"/>
    <w:tmpl w:val="609572E9"/>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num w:numId="1">
    <w:abstractNumId w:val="1"/>
  </w:num>
  <w:num w:numId="2">
    <w:abstractNumId w:val="2"/>
  </w:num>
  <w:num w:numId="3">
    <w:abstractNumId w:val="5"/>
  </w:num>
  <w:num w:numId="4">
    <w:abstractNumId w:val="4"/>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BE3"/>
    <w:rsid w:val="00010AFF"/>
    <w:rsid w:val="00014E79"/>
    <w:rsid w:val="00046031"/>
    <w:rsid w:val="00051D04"/>
    <w:rsid w:val="000639BC"/>
    <w:rsid w:val="00065AE3"/>
    <w:rsid w:val="00066B30"/>
    <w:rsid w:val="0008083A"/>
    <w:rsid w:val="00081E9F"/>
    <w:rsid w:val="00085642"/>
    <w:rsid w:val="00096C86"/>
    <w:rsid w:val="000B2021"/>
    <w:rsid w:val="000B635D"/>
    <w:rsid w:val="000C07CD"/>
    <w:rsid w:val="000C0E20"/>
    <w:rsid w:val="000C3B63"/>
    <w:rsid w:val="000C558B"/>
    <w:rsid w:val="000E18C1"/>
    <w:rsid w:val="000F5AD3"/>
    <w:rsid w:val="00106533"/>
    <w:rsid w:val="00110BBB"/>
    <w:rsid w:val="00117E2E"/>
    <w:rsid w:val="00125E6C"/>
    <w:rsid w:val="00135681"/>
    <w:rsid w:val="001429E0"/>
    <w:rsid w:val="0015083C"/>
    <w:rsid w:val="00150861"/>
    <w:rsid w:val="001519B6"/>
    <w:rsid w:val="00151E4F"/>
    <w:rsid w:val="001805E7"/>
    <w:rsid w:val="0019777F"/>
    <w:rsid w:val="001B571C"/>
    <w:rsid w:val="001C11CB"/>
    <w:rsid w:val="001E0EE5"/>
    <w:rsid w:val="001E21CF"/>
    <w:rsid w:val="001F3EA1"/>
    <w:rsid w:val="00214B84"/>
    <w:rsid w:val="00224419"/>
    <w:rsid w:val="002256C7"/>
    <w:rsid w:val="00243795"/>
    <w:rsid w:val="00244213"/>
    <w:rsid w:val="002442BD"/>
    <w:rsid w:val="00254854"/>
    <w:rsid w:val="00263FA2"/>
    <w:rsid w:val="00272F88"/>
    <w:rsid w:val="002829F1"/>
    <w:rsid w:val="00283B87"/>
    <w:rsid w:val="00286EC0"/>
    <w:rsid w:val="00295C15"/>
    <w:rsid w:val="002B1DFC"/>
    <w:rsid w:val="002B546F"/>
    <w:rsid w:val="002C5ABA"/>
    <w:rsid w:val="002D3BC9"/>
    <w:rsid w:val="00301E76"/>
    <w:rsid w:val="0030465E"/>
    <w:rsid w:val="00305E69"/>
    <w:rsid w:val="00312734"/>
    <w:rsid w:val="00314CE0"/>
    <w:rsid w:val="003400D8"/>
    <w:rsid w:val="0035455B"/>
    <w:rsid w:val="00360808"/>
    <w:rsid w:val="003736F1"/>
    <w:rsid w:val="0037423D"/>
    <w:rsid w:val="003A25FC"/>
    <w:rsid w:val="003A4910"/>
    <w:rsid w:val="003B3D1C"/>
    <w:rsid w:val="003C1552"/>
    <w:rsid w:val="003C374E"/>
    <w:rsid w:val="003C3E9B"/>
    <w:rsid w:val="003C6BA6"/>
    <w:rsid w:val="003D6641"/>
    <w:rsid w:val="003E37CD"/>
    <w:rsid w:val="004056B8"/>
    <w:rsid w:val="00405C79"/>
    <w:rsid w:val="00432A1D"/>
    <w:rsid w:val="00440A77"/>
    <w:rsid w:val="00470645"/>
    <w:rsid w:val="0047141E"/>
    <w:rsid w:val="0047271D"/>
    <w:rsid w:val="0048089B"/>
    <w:rsid w:val="00483D35"/>
    <w:rsid w:val="00490D30"/>
    <w:rsid w:val="004B0288"/>
    <w:rsid w:val="004B03C8"/>
    <w:rsid w:val="004B69D0"/>
    <w:rsid w:val="004B6FA6"/>
    <w:rsid w:val="004B71F9"/>
    <w:rsid w:val="004C2636"/>
    <w:rsid w:val="004E2500"/>
    <w:rsid w:val="004E4070"/>
    <w:rsid w:val="004F16D9"/>
    <w:rsid w:val="004F5295"/>
    <w:rsid w:val="00517016"/>
    <w:rsid w:val="00524A46"/>
    <w:rsid w:val="0054181E"/>
    <w:rsid w:val="005510B3"/>
    <w:rsid w:val="00576FD1"/>
    <w:rsid w:val="005812F5"/>
    <w:rsid w:val="005928FD"/>
    <w:rsid w:val="005A2F48"/>
    <w:rsid w:val="005A46F6"/>
    <w:rsid w:val="005A69B7"/>
    <w:rsid w:val="005D5996"/>
    <w:rsid w:val="005E6D43"/>
    <w:rsid w:val="005F4D57"/>
    <w:rsid w:val="005F5EBA"/>
    <w:rsid w:val="005F738A"/>
    <w:rsid w:val="00623B7E"/>
    <w:rsid w:val="006269A3"/>
    <w:rsid w:val="006366B8"/>
    <w:rsid w:val="006378B9"/>
    <w:rsid w:val="00651451"/>
    <w:rsid w:val="00655A59"/>
    <w:rsid w:val="006605D4"/>
    <w:rsid w:val="006618BF"/>
    <w:rsid w:val="0067591E"/>
    <w:rsid w:val="006872F9"/>
    <w:rsid w:val="006A5BEF"/>
    <w:rsid w:val="006A62B0"/>
    <w:rsid w:val="006B2800"/>
    <w:rsid w:val="006C059B"/>
    <w:rsid w:val="006E5919"/>
    <w:rsid w:val="00713596"/>
    <w:rsid w:val="00717301"/>
    <w:rsid w:val="00720488"/>
    <w:rsid w:val="007454EB"/>
    <w:rsid w:val="0075202F"/>
    <w:rsid w:val="00752CE6"/>
    <w:rsid w:val="00754D4D"/>
    <w:rsid w:val="007603DF"/>
    <w:rsid w:val="00764A63"/>
    <w:rsid w:val="0077125D"/>
    <w:rsid w:val="00773602"/>
    <w:rsid w:val="00773B1B"/>
    <w:rsid w:val="007932C9"/>
    <w:rsid w:val="007C0A10"/>
    <w:rsid w:val="007C1F7E"/>
    <w:rsid w:val="00812E23"/>
    <w:rsid w:val="008172D6"/>
    <w:rsid w:val="008401B9"/>
    <w:rsid w:val="00842BA7"/>
    <w:rsid w:val="00854ED5"/>
    <w:rsid w:val="0086294F"/>
    <w:rsid w:val="00870686"/>
    <w:rsid w:val="00892BAA"/>
    <w:rsid w:val="008A3E24"/>
    <w:rsid w:val="008A43B3"/>
    <w:rsid w:val="008C0540"/>
    <w:rsid w:val="008C15A2"/>
    <w:rsid w:val="008D6A6D"/>
    <w:rsid w:val="008E0996"/>
    <w:rsid w:val="008E15AE"/>
    <w:rsid w:val="008E3414"/>
    <w:rsid w:val="008F15CB"/>
    <w:rsid w:val="00902784"/>
    <w:rsid w:val="0094211F"/>
    <w:rsid w:val="009430D4"/>
    <w:rsid w:val="00947A85"/>
    <w:rsid w:val="00953349"/>
    <w:rsid w:val="009557A7"/>
    <w:rsid w:val="0095646C"/>
    <w:rsid w:val="0096667E"/>
    <w:rsid w:val="00972984"/>
    <w:rsid w:val="00985B4B"/>
    <w:rsid w:val="00986FBC"/>
    <w:rsid w:val="00993FE8"/>
    <w:rsid w:val="00997B5C"/>
    <w:rsid w:val="009A1A9B"/>
    <w:rsid w:val="009B5717"/>
    <w:rsid w:val="009C3625"/>
    <w:rsid w:val="009C63E8"/>
    <w:rsid w:val="009E2E2C"/>
    <w:rsid w:val="009F7344"/>
    <w:rsid w:val="00A1296C"/>
    <w:rsid w:val="00A12AA7"/>
    <w:rsid w:val="00A23F43"/>
    <w:rsid w:val="00A2660E"/>
    <w:rsid w:val="00A26CD5"/>
    <w:rsid w:val="00A32A0C"/>
    <w:rsid w:val="00A350DB"/>
    <w:rsid w:val="00A43F83"/>
    <w:rsid w:val="00A44DA9"/>
    <w:rsid w:val="00A62398"/>
    <w:rsid w:val="00A663EE"/>
    <w:rsid w:val="00A66A44"/>
    <w:rsid w:val="00AC7A30"/>
    <w:rsid w:val="00AE0558"/>
    <w:rsid w:val="00AE1CE5"/>
    <w:rsid w:val="00AF01A1"/>
    <w:rsid w:val="00AF3B0F"/>
    <w:rsid w:val="00B048BB"/>
    <w:rsid w:val="00B114F5"/>
    <w:rsid w:val="00B16146"/>
    <w:rsid w:val="00B179DC"/>
    <w:rsid w:val="00B22FAD"/>
    <w:rsid w:val="00B25849"/>
    <w:rsid w:val="00B264CE"/>
    <w:rsid w:val="00B33A78"/>
    <w:rsid w:val="00B3504F"/>
    <w:rsid w:val="00B54449"/>
    <w:rsid w:val="00B54FB8"/>
    <w:rsid w:val="00B60554"/>
    <w:rsid w:val="00B66DB9"/>
    <w:rsid w:val="00B67865"/>
    <w:rsid w:val="00B7397A"/>
    <w:rsid w:val="00B7759E"/>
    <w:rsid w:val="00B86B02"/>
    <w:rsid w:val="00B97423"/>
    <w:rsid w:val="00BA52BD"/>
    <w:rsid w:val="00BB1BE3"/>
    <w:rsid w:val="00BE4AC3"/>
    <w:rsid w:val="00C019A7"/>
    <w:rsid w:val="00C308D5"/>
    <w:rsid w:val="00C532B5"/>
    <w:rsid w:val="00C74504"/>
    <w:rsid w:val="00C94FE2"/>
    <w:rsid w:val="00CA22B0"/>
    <w:rsid w:val="00CA2ACC"/>
    <w:rsid w:val="00CD6F85"/>
    <w:rsid w:val="00D01ABC"/>
    <w:rsid w:val="00D14D72"/>
    <w:rsid w:val="00D40644"/>
    <w:rsid w:val="00D50F40"/>
    <w:rsid w:val="00DB5A26"/>
    <w:rsid w:val="00DB5D06"/>
    <w:rsid w:val="00DE1501"/>
    <w:rsid w:val="00DE4E63"/>
    <w:rsid w:val="00DF1AF4"/>
    <w:rsid w:val="00DF7070"/>
    <w:rsid w:val="00E06F67"/>
    <w:rsid w:val="00E17CDC"/>
    <w:rsid w:val="00E27C18"/>
    <w:rsid w:val="00E3390E"/>
    <w:rsid w:val="00E3523C"/>
    <w:rsid w:val="00E37A53"/>
    <w:rsid w:val="00E44AC2"/>
    <w:rsid w:val="00E601B3"/>
    <w:rsid w:val="00E63959"/>
    <w:rsid w:val="00E702BC"/>
    <w:rsid w:val="00E8257E"/>
    <w:rsid w:val="00E96D48"/>
    <w:rsid w:val="00EA247A"/>
    <w:rsid w:val="00EC08CC"/>
    <w:rsid w:val="00EC3AEA"/>
    <w:rsid w:val="00ED7AE8"/>
    <w:rsid w:val="00EE3DC9"/>
    <w:rsid w:val="00EE4084"/>
    <w:rsid w:val="00EF3D24"/>
    <w:rsid w:val="00F24903"/>
    <w:rsid w:val="00F350CC"/>
    <w:rsid w:val="00F42C9A"/>
    <w:rsid w:val="00F5781C"/>
    <w:rsid w:val="00F6245A"/>
    <w:rsid w:val="00F75FEF"/>
    <w:rsid w:val="00F837C7"/>
    <w:rsid w:val="00FA6897"/>
    <w:rsid w:val="00FC3C79"/>
    <w:rsid w:val="00FD00A5"/>
    <w:rsid w:val="00FD5499"/>
    <w:rsid w:val="00FE3B9D"/>
    <w:rsid w:val="00FE5E40"/>
    <w:rsid w:val="017B713F"/>
    <w:rsid w:val="02D4669E"/>
    <w:rsid w:val="02F51CAC"/>
    <w:rsid w:val="035D4591"/>
    <w:rsid w:val="05025DBE"/>
    <w:rsid w:val="052C0467"/>
    <w:rsid w:val="05CE06E8"/>
    <w:rsid w:val="07BE70C4"/>
    <w:rsid w:val="07D216C1"/>
    <w:rsid w:val="085C11ED"/>
    <w:rsid w:val="0A1164F6"/>
    <w:rsid w:val="0AC50B14"/>
    <w:rsid w:val="0B595C58"/>
    <w:rsid w:val="0C895C66"/>
    <w:rsid w:val="0CC212FE"/>
    <w:rsid w:val="0CE25AB7"/>
    <w:rsid w:val="0D193A18"/>
    <w:rsid w:val="0D2D4783"/>
    <w:rsid w:val="0E6D108A"/>
    <w:rsid w:val="0E896BA9"/>
    <w:rsid w:val="0F0731CE"/>
    <w:rsid w:val="0F257402"/>
    <w:rsid w:val="0F44448E"/>
    <w:rsid w:val="0F5C1078"/>
    <w:rsid w:val="109F5E2C"/>
    <w:rsid w:val="10B00144"/>
    <w:rsid w:val="135F1001"/>
    <w:rsid w:val="140B3196"/>
    <w:rsid w:val="1607607F"/>
    <w:rsid w:val="178607F5"/>
    <w:rsid w:val="17E26CB8"/>
    <w:rsid w:val="184077D8"/>
    <w:rsid w:val="184415E8"/>
    <w:rsid w:val="19200B39"/>
    <w:rsid w:val="194E3762"/>
    <w:rsid w:val="19F30BAD"/>
    <w:rsid w:val="1A4759C8"/>
    <w:rsid w:val="1A494CD5"/>
    <w:rsid w:val="1A520F0B"/>
    <w:rsid w:val="1A9E2DCB"/>
    <w:rsid w:val="1C9626EF"/>
    <w:rsid w:val="1CB010F0"/>
    <w:rsid w:val="1D235AFF"/>
    <w:rsid w:val="1DBB3390"/>
    <w:rsid w:val="1E6D142A"/>
    <w:rsid w:val="1E7865B3"/>
    <w:rsid w:val="1F636BCD"/>
    <w:rsid w:val="21D71F29"/>
    <w:rsid w:val="22A42E17"/>
    <w:rsid w:val="23866875"/>
    <w:rsid w:val="23B77432"/>
    <w:rsid w:val="24D13118"/>
    <w:rsid w:val="26A21916"/>
    <w:rsid w:val="2807027C"/>
    <w:rsid w:val="284C4EA1"/>
    <w:rsid w:val="2864496F"/>
    <w:rsid w:val="28DA7009"/>
    <w:rsid w:val="28FA612C"/>
    <w:rsid w:val="29360CBB"/>
    <w:rsid w:val="29B9007F"/>
    <w:rsid w:val="2A702F85"/>
    <w:rsid w:val="2A7D1A1E"/>
    <w:rsid w:val="2ABC425D"/>
    <w:rsid w:val="2C332723"/>
    <w:rsid w:val="2C5C7E84"/>
    <w:rsid w:val="2C8A5813"/>
    <w:rsid w:val="2D8B129F"/>
    <w:rsid w:val="2E4A454F"/>
    <w:rsid w:val="2EF200BD"/>
    <w:rsid w:val="2F201358"/>
    <w:rsid w:val="2F3A2F83"/>
    <w:rsid w:val="2F65764F"/>
    <w:rsid w:val="2FB32546"/>
    <w:rsid w:val="2FE42573"/>
    <w:rsid w:val="2FF00F86"/>
    <w:rsid w:val="30201103"/>
    <w:rsid w:val="32456416"/>
    <w:rsid w:val="32C260F5"/>
    <w:rsid w:val="32CF7CD1"/>
    <w:rsid w:val="339470C5"/>
    <w:rsid w:val="34DE3752"/>
    <w:rsid w:val="36506ED5"/>
    <w:rsid w:val="36537D0B"/>
    <w:rsid w:val="36684B37"/>
    <w:rsid w:val="36CC5521"/>
    <w:rsid w:val="37B2678F"/>
    <w:rsid w:val="382D273E"/>
    <w:rsid w:val="393B6485"/>
    <w:rsid w:val="39BC34AF"/>
    <w:rsid w:val="3A0E0775"/>
    <w:rsid w:val="3B3F058F"/>
    <w:rsid w:val="3CC11CFC"/>
    <w:rsid w:val="3CC63AFB"/>
    <w:rsid w:val="3CD2046C"/>
    <w:rsid w:val="3EB102CF"/>
    <w:rsid w:val="3EB42966"/>
    <w:rsid w:val="3F73198C"/>
    <w:rsid w:val="3F837427"/>
    <w:rsid w:val="4121310A"/>
    <w:rsid w:val="4180722E"/>
    <w:rsid w:val="418564B9"/>
    <w:rsid w:val="428C357D"/>
    <w:rsid w:val="42950391"/>
    <w:rsid w:val="434B4A7B"/>
    <w:rsid w:val="43523C8A"/>
    <w:rsid w:val="4413573F"/>
    <w:rsid w:val="4436281C"/>
    <w:rsid w:val="44536D1C"/>
    <w:rsid w:val="44A96EFF"/>
    <w:rsid w:val="457E36EA"/>
    <w:rsid w:val="459E16C9"/>
    <w:rsid w:val="467E20C4"/>
    <w:rsid w:val="4703564D"/>
    <w:rsid w:val="480B2758"/>
    <w:rsid w:val="48A4313B"/>
    <w:rsid w:val="48AF7E15"/>
    <w:rsid w:val="49112AEB"/>
    <w:rsid w:val="49186EA0"/>
    <w:rsid w:val="4A43473E"/>
    <w:rsid w:val="4A735AD8"/>
    <w:rsid w:val="4B5D4649"/>
    <w:rsid w:val="4B915996"/>
    <w:rsid w:val="4C244313"/>
    <w:rsid w:val="4C4C69B3"/>
    <w:rsid w:val="4C593F74"/>
    <w:rsid w:val="4CC53CDC"/>
    <w:rsid w:val="4CD41B3E"/>
    <w:rsid w:val="4D433EF7"/>
    <w:rsid w:val="4DC35C21"/>
    <w:rsid w:val="4DEC3A57"/>
    <w:rsid w:val="4E455377"/>
    <w:rsid w:val="4E883A65"/>
    <w:rsid w:val="4F3044BE"/>
    <w:rsid w:val="4F9107CD"/>
    <w:rsid w:val="5012098E"/>
    <w:rsid w:val="50851D2E"/>
    <w:rsid w:val="50995768"/>
    <w:rsid w:val="50F42885"/>
    <w:rsid w:val="513300D0"/>
    <w:rsid w:val="51742FB0"/>
    <w:rsid w:val="52EF6A46"/>
    <w:rsid w:val="535F2DE2"/>
    <w:rsid w:val="53C47AD1"/>
    <w:rsid w:val="54B565DC"/>
    <w:rsid w:val="56C76446"/>
    <w:rsid w:val="582D0EAE"/>
    <w:rsid w:val="591D431C"/>
    <w:rsid w:val="595C3B71"/>
    <w:rsid w:val="5AF26521"/>
    <w:rsid w:val="5B0E7A83"/>
    <w:rsid w:val="5B2E577B"/>
    <w:rsid w:val="5B4A6B62"/>
    <w:rsid w:val="5BDB128D"/>
    <w:rsid w:val="5CDD1D45"/>
    <w:rsid w:val="5D2E45F8"/>
    <w:rsid w:val="5D6D6027"/>
    <w:rsid w:val="5DA2752E"/>
    <w:rsid w:val="5DBE3B51"/>
    <w:rsid w:val="5E567DCA"/>
    <w:rsid w:val="5ED75166"/>
    <w:rsid w:val="5F7A6910"/>
    <w:rsid w:val="5F9863CD"/>
    <w:rsid w:val="614A35AB"/>
    <w:rsid w:val="61E20553"/>
    <w:rsid w:val="62FE60AD"/>
    <w:rsid w:val="63587FA6"/>
    <w:rsid w:val="64A07568"/>
    <w:rsid w:val="650755D0"/>
    <w:rsid w:val="6531483D"/>
    <w:rsid w:val="65AB20A1"/>
    <w:rsid w:val="664B33C6"/>
    <w:rsid w:val="67B21F12"/>
    <w:rsid w:val="67EA4EE9"/>
    <w:rsid w:val="67FD641F"/>
    <w:rsid w:val="69DE0D3F"/>
    <w:rsid w:val="6A1D21C2"/>
    <w:rsid w:val="6A4B467A"/>
    <w:rsid w:val="6AD95D75"/>
    <w:rsid w:val="6B926A43"/>
    <w:rsid w:val="6BDF2103"/>
    <w:rsid w:val="6BEC14C1"/>
    <w:rsid w:val="6CB34EF3"/>
    <w:rsid w:val="6CC64C9F"/>
    <w:rsid w:val="6DD61FD9"/>
    <w:rsid w:val="6E0C42EA"/>
    <w:rsid w:val="6FAD4F91"/>
    <w:rsid w:val="718D4365"/>
    <w:rsid w:val="71BC19F9"/>
    <w:rsid w:val="71E838B4"/>
    <w:rsid w:val="72255653"/>
    <w:rsid w:val="72B322C5"/>
    <w:rsid w:val="73437D98"/>
    <w:rsid w:val="73A82386"/>
    <w:rsid w:val="73D72329"/>
    <w:rsid w:val="74D227F4"/>
    <w:rsid w:val="75216DE5"/>
    <w:rsid w:val="758F7BEE"/>
    <w:rsid w:val="75A91401"/>
    <w:rsid w:val="75B27A1A"/>
    <w:rsid w:val="769515DB"/>
    <w:rsid w:val="76AA1B0A"/>
    <w:rsid w:val="76D75ED5"/>
    <w:rsid w:val="77893BA2"/>
    <w:rsid w:val="781D3665"/>
    <w:rsid w:val="78AC12C3"/>
    <w:rsid w:val="79CE0EC4"/>
    <w:rsid w:val="7A874DA1"/>
    <w:rsid w:val="7AE00D31"/>
    <w:rsid w:val="7BC635A1"/>
    <w:rsid w:val="7CF95BDB"/>
    <w:rsid w:val="7D9060CA"/>
    <w:rsid w:val="7DA159F1"/>
    <w:rsid w:val="7E023C7F"/>
    <w:rsid w:val="7E5A1381"/>
    <w:rsid w:val="7E8337BB"/>
    <w:rsid w:val="7F0E0FF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szCs w:val="21"/>
      <w:lang w:val="en-US" w:eastAsia="zh-CN" w:bidi="ar-SA"/>
    </w:rPr>
  </w:style>
  <w:style w:type="paragraph" w:styleId="2">
    <w:name w:val="heading 1"/>
    <w:basedOn w:val="1"/>
    <w:next w:val="1"/>
    <w:link w:val="28"/>
    <w:qFormat/>
    <w:uiPriority w:val="9"/>
    <w:pPr>
      <w:keepNext/>
      <w:keepLines/>
      <w:spacing w:before="340" w:after="330" w:line="578" w:lineRule="auto"/>
      <w:outlineLvl w:val="0"/>
    </w:pPr>
    <w:rPr>
      <w:rFonts w:eastAsia="方正小标宋简体" w:cs="Times New Roman"/>
      <w:bCs/>
      <w:kern w:val="44"/>
      <w:sz w:val="44"/>
      <w:szCs w:val="44"/>
    </w:rPr>
  </w:style>
  <w:style w:type="paragraph" w:styleId="3">
    <w:name w:val="heading 2"/>
    <w:basedOn w:val="1"/>
    <w:next w:val="1"/>
    <w:link w:val="32"/>
    <w:qFormat/>
    <w:uiPriority w:val="99"/>
    <w:pPr>
      <w:keepNext/>
      <w:keepLines/>
      <w:spacing w:line="416" w:lineRule="auto"/>
      <w:outlineLvl w:val="1"/>
    </w:pPr>
    <w:rPr>
      <w:rFonts w:ascii="Cambria" w:hAnsi="Cambria" w:eastAsia="黑体" w:cs="Times New Roman"/>
      <w:bCs/>
      <w:kern w:val="0"/>
      <w:sz w:val="32"/>
      <w:szCs w:val="32"/>
    </w:rPr>
  </w:style>
  <w:style w:type="paragraph" w:styleId="4">
    <w:name w:val="heading 4"/>
    <w:basedOn w:val="1"/>
    <w:next w:val="1"/>
    <w:qFormat/>
    <w:uiPriority w:val="0"/>
    <w:pPr>
      <w:keepNext/>
      <w:keepLines/>
      <w:numPr>
        <w:ilvl w:val="3"/>
        <w:numId w:val="1"/>
      </w:numPr>
      <w:autoSpaceDE w:val="0"/>
      <w:autoSpaceDN w:val="0"/>
      <w:adjustRightInd w:val="0"/>
      <w:spacing w:before="280" w:after="290" w:line="376" w:lineRule="auto"/>
      <w:jc w:val="left"/>
      <w:textAlignment w:val="baseline"/>
      <w:outlineLvl w:val="3"/>
    </w:pPr>
    <w:rPr>
      <w:rFonts w:ascii="Arial" w:hAnsi="Arial" w:eastAsia="黑体"/>
      <w:b/>
      <w:kern w:val="0"/>
    </w:rPr>
  </w:style>
  <w:style w:type="character" w:default="1" w:styleId="14">
    <w:name w:val="Default Paragraph Font"/>
    <w:unhideWhenUsed/>
    <w:uiPriority w:val="1"/>
  </w:style>
  <w:style w:type="table" w:default="1" w:styleId="18">
    <w:name w:val="Normal Table"/>
    <w:unhideWhenUsed/>
    <w:uiPriority w:val="99"/>
    <w:tblPr>
      <w:tblLayout w:type="fixed"/>
      <w:tblCellMar>
        <w:top w:w="0" w:type="dxa"/>
        <w:left w:w="108" w:type="dxa"/>
        <w:bottom w:w="0" w:type="dxa"/>
        <w:right w:w="108" w:type="dxa"/>
      </w:tblCellMar>
    </w:tblPr>
  </w:style>
  <w:style w:type="paragraph" w:styleId="5">
    <w:name w:val="annotation text"/>
    <w:basedOn w:val="1"/>
    <w:unhideWhenUsed/>
    <w:uiPriority w:val="99"/>
    <w:pPr>
      <w:jc w:val="left"/>
    </w:pPr>
  </w:style>
  <w:style w:type="paragraph" w:styleId="6">
    <w:name w:val="Body Text Indent"/>
    <w:basedOn w:val="1"/>
    <w:unhideWhenUsed/>
    <w:uiPriority w:val="99"/>
    <w:pPr>
      <w:spacing w:line="120" w:lineRule="auto"/>
      <w:ind w:firstLine="560" w:firstLineChars="200"/>
      <w:jc w:val="left"/>
    </w:pPr>
    <w:rPr>
      <w:rFonts w:ascii="华文细黑" w:hAnsi="华文细黑" w:eastAsia="华文细黑"/>
      <w:sz w:val="28"/>
    </w:rPr>
  </w:style>
  <w:style w:type="paragraph" w:styleId="7">
    <w:name w:val="Plain Text"/>
    <w:basedOn w:val="1"/>
    <w:link w:val="33"/>
    <w:qFormat/>
    <w:uiPriority w:val="0"/>
    <w:pPr>
      <w:jc w:val="left"/>
    </w:pPr>
    <w:rPr>
      <w:rFonts w:ascii="宋体" w:hAnsi="Courier New" w:cs="Times New Roman"/>
      <w:kern w:val="0"/>
    </w:rPr>
  </w:style>
  <w:style w:type="paragraph" w:styleId="8">
    <w:name w:val="Date"/>
    <w:basedOn w:val="1"/>
    <w:next w:val="1"/>
    <w:qFormat/>
    <w:uiPriority w:val="0"/>
    <w:pPr>
      <w:widowControl w:val="0"/>
      <w:adjustRightInd/>
      <w:snapToGrid/>
      <w:spacing w:after="0"/>
      <w:ind w:left="100" w:leftChars="2500"/>
      <w:jc w:val="both"/>
    </w:pPr>
    <w:rPr>
      <w:rFonts w:ascii="Times New Roman" w:hAnsi="Times New Roman" w:eastAsia="宋体" w:cs="Times New Roman"/>
      <w:kern w:val="2"/>
      <w:sz w:val="24"/>
      <w:szCs w:val="20"/>
    </w:rPr>
  </w:style>
  <w:style w:type="paragraph" w:styleId="9">
    <w:name w:val="Balloon Text"/>
    <w:basedOn w:val="1"/>
    <w:link w:val="27"/>
    <w:unhideWhenUsed/>
    <w:qFormat/>
    <w:uiPriority w:val="99"/>
    <w:rPr>
      <w:rFonts w:ascii="Calibri" w:hAnsi="Calibri" w:cs="Times New Roman"/>
      <w:kern w:val="0"/>
      <w:sz w:val="18"/>
      <w:szCs w:val="18"/>
    </w:rPr>
  </w:style>
  <w:style w:type="paragraph" w:styleId="10">
    <w:name w:val="footer"/>
    <w:basedOn w:val="1"/>
    <w:link w:val="30"/>
    <w:unhideWhenUsed/>
    <w:qFormat/>
    <w:uiPriority w:val="99"/>
    <w:pPr>
      <w:tabs>
        <w:tab w:val="center" w:pos="4153"/>
        <w:tab w:val="right" w:pos="8306"/>
      </w:tabs>
      <w:snapToGrid w:val="0"/>
      <w:jc w:val="left"/>
    </w:pPr>
    <w:rPr>
      <w:rFonts w:cs="Times New Roman"/>
      <w:kern w:val="0"/>
      <w:sz w:val="18"/>
      <w:szCs w:val="18"/>
    </w:rPr>
  </w:style>
  <w:style w:type="paragraph" w:styleId="11">
    <w:name w:val="header"/>
    <w:basedOn w:val="1"/>
    <w:link w:val="34"/>
    <w:unhideWhenUsed/>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styleId="12">
    <w:name w:val="toc 1"/>
    <w:basedOn w:val="1"/>
    <w:next w:val="1"/>
    <w:uiPriority w:val="39"/>
  </w:style>
  <w:style w:type="paragraph" w:styleId="13">
    <w:name w:val="toc 2"/>
    <w:basedOn w:val="1"/>
    <w:next w:val="1"/>
    <w:qFormat/>
    <w:uiPriority w:val="39"/>
    <w:pPr>
      <w:tabs>
        <w:tab w:val="right" w:leader="dot" w:pos="9736"/>
      </w:tabs>
      <w:jc w:val="left"/>
    </w:pPr>
  </w:style>
  <w:style w:type="character" w:styleId="15">
    <w:name w:val="Strong"/>
    <w:qFormat/>
    <w:uiPriority w:val="99"/>
    <w:rPr>
      <w:b/>
      <w:bCs/>
    </w:rPr>
  </w:style>
  <w:style w:type="character" w:styleId="16">
    <w:name w:val="page number"/>
    <w:basedOn w:val="14"/>
    <w:unhideWhenUsed/>
    <w:qFormat/>
    <w:uiPriority w:val="99"/>
  </w:style>
  <w:style w:type="character" w:styleId="17">
    <w:name w:val="Hyperlink"/>
    <w:qFormat/>
    <w:uiPriority w:val="99"/>
    <w:rPr>
      <w:color w:val="0000FF"/>
      <w:u w:val="single"/>
    </w:rPr>
  </w:style>
  <w:style w:type="table" w:styleId="19">
    <w:name w:val="Table Grid"/>
    <w:basedOn w:val="18"/>
    <w:unhideWhenUsed/>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0">
    <w:name w:val="WPSOffice手动目录 2"/>
    <w:qFormat/>
    <w:uiPriority w:val="0"/>
    <w:pPr>
      <w:ind w:leftChars="200"/>
    </w:pPr>
    <w:rPr>
      <w:rFonts w:ascii="Times New Roman" w:hAnsi="Times New Roman" w:eastAsia="宋体" w:cs="Times New Roman"/>
      <w:lang w:val="en-US" w:eastAsia="zh-CN" w:bidi="ar-SA"/>
    </w:rPr>
  </w:style>
  <w:style w:type="paragraph" w:customStyle="1" w:styleId="21">
    <w:name w:val="List Paragraph"/>
    <w:basedOn w:val="1"/>
    <w:qFormat/>
    <w:uiPriority w:val="34"/>
    <w:pPr>
      <w:widowControl w:val="0"/>
      <w:numPr>
        <w:ilvl w:val="0"/>
        <w:numId w:val="2"/>
      </w:numPr>
      <w:jc w:val="both"/>
    </w:pPr>
    <w:rPr>
      <w:rFonts w:ascii="Calibri" w:hAnsi="Calibri"/>
      <w:kern w:val="2"/>
      <w:sz w:val="21"/>
    </w:rPr>
  </w:style>
  <w:style w:type="paragraph" w:customStyle="1" w:styleId="22">
    <w:name w:val="WPSOffice手动目录 1"/>
    <w:qFormat/>
    <w:uiPriority w:val="0"/>
    <w:rPr>
      <w:rFonts w:ascii="Times New Roman" w:hAnsi="Times New Roman" w:eastAsia="宋体" w:cs="Times New Roman"/>
      <w:lang w:val="en-US" w:eastAsia="zh-CN" w:bidi="ar-SA"/>
    </w:rPr>
  </w:style>
  <w:style w:type="paragraph" w:customStyle="1" w:styleId="23">
    <w:name w:val="标题2级"/>
    <w:basedOn w:val="3"/>
    <w:qFormat/>
    <w:uiPriority w:val="0"/>
    <w:pPr>
      <w:numPr>
        <w:ilvl w:val="1"/>
        <w:numId w:val="3"/>
      </w:numPr>
      <w:adjustRightInd w:val="0"/>
      <w:spacing w:before="0" w:after="0" w:line="360" w:lineRule="auto"/>
      <w:jc w:val="both"/>
      <w:textAlignment w:val="baseline"/>
    </w:pPr>
    <w:rPr>
      <w:rFonts w:ascii="Times New Roman" w:eastAsia="楷体_GB2312"/>
      <w:bCs w:val="0"/>
      <w:kern w:val="0"/>
      <w:sz w:val="28"/>
      <w:szCs w:val="20"/>
    </w:rPr>
  </w:style>
  <w:style w:type="paragraph" w:customStyle="1" w:styleId="24">
    <w:name w:val="Normal_1"/>
    <w:qFormat/>
    <w:uiPriority w:val="0"/>
    <w:rPr>
      <w:rFonts w:ascii="Times New Roman" w:hAnsi="Times New Roman" w:eastAsia="宋体" w:cs="Times New Roman"/>
      <w:sz w:val="24"/>
      <w:szCs w:val="24"/>
      <w:lang w:val="en-US" w:eastAsia="zh-CN" w:bidi="ar-SA"/>
    </w:rPr>
  </w:style>
  <w:style w:type="paragraph" w:customStyle="1" w:styleId="25">
    <w:name w:val="WPSOffice手动目录 3"/>
    <w:qFormat/>
    <w:uiPriority w:val="0"/>
    <w:pPr>
      <w:ind w:leftChars="400"/>
    </w:pPr>
    <w:rPr>
      <w:rFonts w:ascii="Times New Roman" w:hAnsi="Times New Roman" w:eastAsia="宋体" w:cs="Times New Roman"/>
      <w:lang w:val="en-US" w:eastAsia="zh-CN" w:bidi="ar-SA"/>
    </w:rPr>
  </w:style>
  <w:style w:type="paragraph" w:customStyle="1" w:styleId="26">
    <w:name w:val="No Spacing"/>
    <w:qFormat/>
    <w:uiPriority w:val="1"/>
    <w:pPr>
      <w:adjustRightInd w:val="0"/>
      <w:snapToGrid w:val="0"/>
    </w:pPr>
    <w:rPr>
      <w:rFonts w:ascii="Tahoma" w:hAnsi="Tahoma" w:eastAsia="微软雅黑" w:cs="Times New Roman"/>
      <w:sz w:val="22"/>
      <w:szCs w:val="22"/>
      <w:lang w:val="en-US" w:eastAsia="zh-CN" w:bidi="ar-SA"/>
    </w:rPr>
  </w:style>
  <w:style w:type="character" w:customStyle="1" w:styleId="27">
    <w:name w:val="批注框文本 Char"/>
    <w:link w:val="9"/>
    <w:semiHidden/>
    <w:qFormat/>
    <w:uiPriority w:val="99"/>
    <w:rPr>
      <w:rFonts w:ascii="Calibri" w:hAnsi="Calibri" w:eastAsia="宋体" w:cs="Calibri"/>
      <w:sz w:val="18"/>
      <w:szCs w:val="18"/>
    </w:rPr>
  </w:style>
  <w:style w:type="character" w:customStyle="1" w:styleId="28">
    <w:name w:val="标题 1 Char"/>
    <w:link w:val="2"/>
    <w:qFormat/>
    <w:uiPriority w:val="9"/>
    <w:rPr>
      <w:rFonts w:ascii="Times New Roman" w:hAnsi="Times New Roman" w:eastAsia="方正小标宋简体"/>
      <w:bCs/>
      <w:kern w:val="44"/>
      <w:sz w:val="44"/>
      <w:szCs w:val="44"/>
    </w:rPr>
  </w:style>
  <w:style w:type="character" w:customStyle="1" w:styleId="29">
    <w:name w:val="标题 2 Char1"/>
    <w:qFormat/>
    <w:uiPriority w:val="99"/>
    <w:rPr>
      <w:rFonts w:ascii="Cambria" w:hAnsi="Cambria" w:eastAsia="黑体" w:cs="Cambria"/>
      <w:bCs/>
      <w:kern w:val="0"/>
      <w:sz w:val="32"/>
      <w:szCs w:val="32"/>
    </w:rPr>
  </w:style>
  <w:style w:type="character" w:customStyle="1" w:styleId="30">
    <w:name w:val="页脚 Char"/>
    <w:link w:val="10"/>
    <w:qFormat/>
    <w:uiPriority w:val="99"/>
    <w:rPr>
      <w:sz w:val="18"/>
      <w:szCs w:val="18"/>
    </w:rPr>
  </w:style>
  <w:style w:type="character" w:customStyle="1" w:styleId="31">
    <w:name w:val="纯文本 Char1"/>
    <w:basedOn w:val="14"/>
    <w:semiHidden/>
    <w:qFormat/>
    <w:locked/>
    <w:uiPriority w:val="0"/>
    <w:rPr>
      <w:rFonts w:ascii="宋体" w:hAnsi="Courier New"/>
      <w:sz w:val="21"/>
      <w:szCs w:val="21"/>
    </w:rPr>
  </w:style>
  <w:style w:type="character" w:customStyle="1" w:styleId="32">
    <w:name w:val="标题 2 Char"/>
    <w:link w:val="3"/>
    <w:qFormat/>
    <w:uiPriority w:val="99"/>
    <w:rPr>
      <w:rFonts w:ascii="Cambria" w:hAnsi="Cambria" w:eastAsia="黑体" w:cs="Cambria"/>
      <w:bCs/>
      <w:kern w:val="0"/>
      <w:sz w:val="32"/>
      <w:szCs w:val="32"/>
    </w:rPr>
  </w:style>
  <w:style w:type="character" w:customStyle="1" w:styleId="33">
    <w:name w:val="纯文本 Char"/>
    <w:link w:val="7"/>
    <w:qFormat/>
    <w:uiPriority w:val="0"/>
    <w:rPr>
      <w:rFonts w:ascii="宋体" w:hAnsi="Courier New"/>
      <w:sz w:val="21"/>
      <w:szCs w:val="21"/>
    </w:rPr>
  </w:style>
  <w:style w:type="character" w:customStyle="1" w:styleId="34">
    <w:name w:val="页眉 Char"/>
    <w:link w:val="11"/>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1499</Words>
  <Characters>8549</Characters>
  <Lines>71</Lines>
  <Paragraphs>20</Paragraphs>
  <TotalTime>0</TotalTime>
  <ScaleCrop>false</ScaleCrop>
  <LinksUpToDate>false</LinksUpToDate>
  <CharactersWithSpaces>10028</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2018-10-26T02:59:00Z</dcterms:created>
  <dc:creator>霍建稳</dc:creator>
  <cp:lastModifiedBy>匿名用户</cp:lastModifiedBy>
  <cp:lastPrinted>2018-05-16T08:51:00Z</cp:lastPrinted>
  <dcterms:modified xsi:type="dcterms:W3CDTF">2018-11-08T09:07:42Z</dcterms:modified>
  <dc:title>_x0001_</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